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eastAsia" w:ascii="宋体" w:hAnsi="宋体" w:cs="宋体"/>
          <w:b/>
          <w:bCs/>
          <w:sz w:val="32"/>
          <w:szCs w:val="32"/>
          <w:lang w:val="en-US" w:eastAsia="zh-CN"/>
        </w:rPr>
      </w:pPr>
      <w:r>
        <w:rPr>
          <w:rFonts w:hint="eastAsia" w:ascii="宋体" w:hAnsi="宋体" w:cs="宋体"/>
          <w:b/>
          <w:bCs/>
          <w:sz w:val="32"/>
          <w:szCs w:val="32"/>
        </w:rPr>
        <w:t>项目名称：</w:t>
      </w:r>
      <w:r>
        <w:rPr>
          <w:rFonts w:hint="eastAsia" w:ascii="宋体" w:hAnsi="宋体" w:cs="宋体"/>
          <w:b/>
          <w:bCs/>
          <w:sz w:val="32"/>
          <w:szCs w:val="32"/>
          <w:lang w:val="en-US" w:eastAsia="zh-CN"/>
        </w:rPr>
        <w:t>工程训练中心</w:t>
      </w:r>
      <w:r>
        <w:rPr>
          <w:rFonts w:hint="eastAsia" w:ascii="宋体" w:hAnsi="宋体" w:eastAsia="宋体" w:cs="宋体"/>
          <w:b/>
          <w:bCs/>
          <w:sz w:val="32"/>
          <w:szCs w:val="32"/>
          <w:lang w:val="en-US" w:eastAsia="zh-CN"/>
        </w:rPr>
        <w:t>智能汽车竞赛创新实验室</w:t>
      </w:r>
      <w:r>
        <w:rPr>
          <w:rFonts w:hint="eastAsia" w:ascii="宋体" w:hAnsi="宋体" w:cs="宋体"/>
          <w:b/>
          <w:bCs/>
          <w:sz w:val="32"/>
          <w:szCs w:val="32"/>
          <w:lang w:val="en-US" w:eastAsia="zh-CN"/>
        </w:rPr>
        <w:t>建设</w:t>
      </w:r>
      <w:r>
        <w:rPr>
          <w:rFonts w:hint="eastAsia" w:ascii="宋体" w:hAnsi="宋体" w:cs="宋体"/>
          <w:b/>
          <w:bCs/>
          <w:sz w:val="32"/>
          <w:szCs w:val="32"/>
        </w:rPr>
        <w:t>项目</w:t>
      </w:r>
    </w:p>
    <w:p>
      <w:pPr>
        <w:jc w:val="center"/>
        <w:rPr>
          <w:rFonts w:hint="eastAsia"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ZCZB2024012</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工程训练中心智能汽车竞赛创新实验室建设项目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工程训练中心智能汽车创新实验室建设项目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numPr>
          <w:ilvl w:val="0"/>
          <w:numId w:val="0"/>
        </w:numPr>
        <w:spacing w:line="360" w:lineRule="exact"/>
        <w:ind w:leftChars="200"/>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cs="宋体"/>
          <w:sz w:val="24"/>
          <w:szCs w:val="24"/>
          <w:lang w:val="en-US" w:eastAsia="zh-CN"/>
        </w:rPr>
        <w:t>3、</w:t>
      </w:r>
      <w:r>
        <w:rPr>
          <w:rFonts w:hint="eastAsia" w:ascii="宋体" w:hAnsi="宋体" w:eastAsia="宋体" w:cs="宋体"/>
          <w:sz w:val="24"/>
          <w:szCs w:val="24"/>
        </w:rPr>
        <w:t>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南通校区智能制造大楼2层中间。</w:t>
      </w:r>
    </w:p>
    <w:p>
      <w:pPr>
        <w:numPr>
          <w:ilvl w:val="0"/>
          <w:numId w:val="0"/>
        </w:numPr>
        <w:spacing w:line="360" w:lineRule="exact"/>
        <w:ind w:leftChars="200"/>
        <w:rPr>
          <w:rFonts w:hint="eastAsia" w:ascii="宋体" w:hAnsi="宋体" w:eastAsia="宋体" w:cs="宋体"/>
          <w:sz w:val="24"/>
          <w:szCs w:val="24"/>
          <w:lang w:val="en-US"/>
        </w:rPr>
      </w:pPr>
      <w:r>
        <w:rPr>
          <w:rFonts w:hint="eastAsia" w:ascii="宋体" w:hAnsi="宋体" w:cs="宋体"/>
          <w:sz w:val="24"/>
          <w:szCs w:val="24"/>
          <w:lang w:val="en-US" w:eastAsia="zh-CN"/>
        </w:rPr>
        <w:t>4、</w:t>
      </w:r>
      <w:r>
        <w:rPr>
          <w:rFonts w:hint="eastAsia" w:ascii="宋体" w:hAnsi="宋体" w:eastAsia="宋体" w:cs="宋体"/>
          <w:sz w:val="24"/>
          <w:szCs w:val="24"/>
        </w:rPr>
        <w:t>工期要求</w:t>
      </w:r>
      <w:r>
        <w:rPr>
          <w:rFonts w:hint="eastAsia" w:ascii="宋体" w:hAnsi="宋体" w:eastAsia="宋体" w:cs="宋体"/>
          <w:sz w:val="24"/>
          <w:szCs w:val="24"/>
          <w:highlight w:val="none"/>
        </w:rPr>
        <w:t>：</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2024年4月30日前交付使用。</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sz w:val="24"/>
          <w:szCs w:val="24"/>
        </w:rPr>
        <w:t>1、中国境内</w:t>
      </w:r>
      <w:r>
        <w:rPr>
          <w:rFonts w:hint="eastAsia" w:ascii="宋体" w:hAnsi="宋体" w:eastAsia="宋体" w:cs="宋体"/>
          <w:color w:val="auto"/>
          <w:sz w:val="24"/>
          <w:szCs w:val="24"/>
        </w:rPr>
        <w:t>合法注册的企业法人；</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3、采购项目的生产厂家或经销商</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集成商</w:t>
      </w:r>
      <w:r>
        <w:rPr>
          <w:rFonts w:hint="eastAsia" w:ascii="宋体" w:hAnsi="宋体" w:eastAsia="宋体" w:cs="宋体"/>
          <w:color w:val="auto"/>
          <w:sz w:val="24"/>
          <w:szCs w:val="24"/>
          <w:lang w:eastAsia="zh-CN"/>
        </w:rPr>
        <w:t>；</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4、供应商不得存在下列情况之一：</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（1）供应商最近三年内被“信用中国（www.creditchina.gov.cn）</w:t>
      </w:r>
      <w:r>
        <w:rPr>
          <w:rFonts w:hint="eastAsia" w:ascii="宋体" w:hAnsi="宋体" w:cs="宋体"/>
          <w:color w:val="auto"/>
          <w:sz w:val="24"/>
          <w:szCs w:val="24"/>
          <w:lang w:eastAsia="zh-CN"/>
        </w:rPr>
        <w:t>”“</w:t>
      </w:r>
      <w:r>
        <w:rPr>
          <w:rFonts w:hint="eastAsia" w:ascii="宋体" w:hAnsi="宋体" w:eastAsia="宋体" w:cs="宋体"/>
          <w:color w:val="auto"/>
          <w:sz w:val="24"/>
          <w:szCs w:val="24"/>
        </w:rPr>
        <w:t>中国政府采购网（www.ccgp.gov.cn）</w:t>
      </w:r>
      <w:r>
        <w:rPr>
          <w:rFonts w:hint="eastAsia" w:ascii="宋体" w:hAnsi="宋体" w:cs="宋体"/>
          <w:color w:val="auto"/>
          <w:sz w:val="24"/>
          <w:szCs w:val="24"/>
          <w:lang w:eastAsia="zh-CN"/>
        </w:rPr>
        <w:t>”“</w:t>
      </w:r>
      <w:r>
        <w:rPr>
          <w:rFonts w:hint="eastAsia" w:ascii="宋体" w:hAnsi="宋体" w:eastAsia="宋体" w:cs="宋体"/>
          <w:color w:val="auto"/>
          <w:sz w:val="24"/>
          <w:szCs w:val="24"/>
        </w:rPr>
        <w:t>信用江苏（</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"http://credit.jiangsu.gov.cn"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http://credit.jiangsu.gov.cn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（2）法定代表人为同一人的两个及两</w:t>
      </w:r>
      <w:r>
        <w:rPr>
          <w:rFonts w:hint="eastAsia" w:ascii="宋体" w:hAnsi="宋体" w:cs="宋体"/>
          <w:color w:val="auto"/>
          <w:sz w:val="24"/>
          <w:szCs w:val="24"/>
          <w:lang w:val="en-US" w:eastAsia="zh-CN"/>
        </w:rPr>
        <w:t>个</w:t>
      </w:r>
      <w:r>
        <w:rPr>
          <w:rFonts w:hint="eastAsia" w:ascii="宋体" w:hAnsi="宋体" w:eastAsia="宋体" w:cs="宋体"/>
          <w:color w:val="auto"/>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三、投标人资格审查方式：资格后审。</w:t>
      </w:r>
    </w:p>
    <w:p>
      <w:pPr>
        <w:spacing w:before="136" w:line="219" w:lineRule="auto"/>
        <w:ind w:left="484"/>
        <w:rPr>
          <w:rFonts w:ascii="宋体" w:hAnsi="宋体" w:eastAsia="宋体" w:cs="宋体"/>
          <w:color w:val="auto"/>
          <w:sz w:val="24"/>
          <w:szCs w:val="24"/>
        </w:rPr>
      </w:pPr>
      <w:r>
        <w:rPr>
          <w:rFonts w:hint="eastAsia" w:ascii="宋体" w:hAnsi="宋体" w:eastAsia="宋体" w:cs="宋体"/>
          <w:b/>
          <w:bCs/>
          <w:color w:val="auto"/>
          <w:sz w:val="24"/>
          <w:szCs w:val="24"/>
        </w:rPr>
        <w:t>四、招标文件获取：</w:t>
      </w:r>
      <w:r>
        <w:rPr>
          <w:rFonts w:ascii="宋体" w:hAnsi="宋体" w:eastAsia="宋体" w:cs="宋体"/>
          <w:color w:val="auto"/>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color w:val="auto"/>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color w:val="auto"/>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color w:val="auto"/>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color w:val="auto"/>
          <w:sz w:val="24"/>
          <w:szCs w:val="24"/>
        </w:rPr>
      </w:pP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color w:val="auto"/>
          <w:position w:val="13"/>
          <w:sz w:val="21"/>
          <w:szCs w:val="21"/>
          <w:lang w:val="en-US" w:eastAsia="zh-CN"/>
        </w:rPr>
        <w:t>https://www.ntit.edu.cn/3554/</w:t>
      </w: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color w:val="auto"/>
          <w:spacing w:val="-63"/>
          <w:position w:val="13"/>
          <w:sz w:val="24"/>
          <w:szCs w:val="24"/>
        </w:rPr>
        <w:t xml:space="preserve"> </w:t>
      </w: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五、招标文件售价：</w:t>
      </w:r>
      <w:r>
        <w:rPr>
          <w:rFonts w:hint="eastAsia" w:ascii="黑体" w:hAnsi="黑体" w:eastAsia="黑体" w:cs="黑体"/>
          <w:b/>
          <w:bCs/>
          <w:color w:val="auto"/>
          <w:sz w:val="24"/>
          <w:szCs w:val="24"/>
        </w:rPr>
        <w:t>人民币</w:t>
      </w:r>
      <w:r>
        <w:rPr>
          <w:rFonts w:hint="eastAsia" w:ascii="黑体" w:hAnsi="黑体" w:eastAsia="黑体" w:cs="黑体"/>
          <w:b/>
          <w:bCs/>
          <w:color w:val="auto"/>
          <w:sz w:val="24"/>
          <w:szCs w:val="24"/>
          <w:lang w:val="en-US" w:eastAsia="zh-CN"/>
        </w:rPr>
        <w:t>300</w:t>
      </w:r>
      <w:r>
        <w:rPr>
          <w:rFonts w:hint="eastAsia" w:ascii="黑体" w:hAnsi="黑体" w:eastAsia="黑体" w:cs="黑体"/>
          <w:b/>
          <w:bCs/>
          <w:color w:val="auto"/>
          <w:sz w:val="24"/>
          <w:szCs w:val="24"/>
        </w:rPr>
        <w:t>元</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微信转账</w:t>
      </w:r>
      <w:r>
        <w:rPr>
          <w:rFonts w:hint="eastAsia" w:ascii="宋体" w:hAnsi="宋体" w:eastAsia="宋体" w:cs="宋体"/>
          <w:color w:val="auto"/>
          <w:sz w:val="24"/>
          <w:szCs w:val="24"/>
        </w:rPr>
        <w:t>账号：</w:t>
      </w:r>
      <w:r>
        <w:rPr>
          <w:rFonts w:hint="eastAsia" w:ascii="黑体" w:hAnsi="黑体" w:eastAsia="黑体" w:cs="黑体"/>
          <w:b/>
          <w:bCs/>
          <w:color w:val="auto"/>
          <w:sz w:val="24"/>
          <w:szCs w:val="24"/>
          <w:lang w:val="en-US" w:eastAsia="zh-CN"/>
        </w:rPr>
        <w:t>13485103026【陆*】</w:t>
      </w:r>
      <w:r>
        <w:rPr>
          <w:rFonts w:hint="eastAsia" w:ascii="宋体" w:hAnsi="宋体" w:eastAsia="宋体" w:cs="宋体"/>
          <w:color w:val="auto"/>
          <w:sz w:val="24"/>
          <w:szCs w:val="24"/>
        </w:rPr>
        <w:t>。</w:t>
      </w:r>
      <w:r>
        <w:rPr>
          <w:rFonts w:hint="eastAsia" w:ascii="黑体" w:hAnsi="黑体" w:eastAsia="黑体" w:cs="黑体"/>
          <w:b/>
          <w:bCs/>
          <w:color w:val="auto"/>
          <w:sz w:val="24"/>
          <w:szCs w:val="24"/>
          <w:lang w:val="en-US" w:eastAsia="zh-CN"/>
        </w:rPr>
        <w:t>转账时请注明单位名称及投标项目名称</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eastAsia="宋体" w:cs="宋体"/>
          <w:color w:val="auto"/>
          <w:sz w:val="24"/>
          <w:szCs w:val="24"/>
        </w:rPr>
        <w:t>报名前缴纳，售后不退。</w:t>
      </w:r>
    </w:p>
    <w:p>
      <w:pPr>
        <w:autoSpaceDE w:val="0"/>
        <w:spacing w:line="360" w:lineRule="exact"/>
        <w:ind w:firstLine="482" w:firstLineChars="200"/>
        <w:jc w:val="left"/>
        <w:rPr>
          <w:rFonts w:hint="eastAsia" w:ascii="宋体" w:hAnsi="宋体" w:eastAsia="宋体" w:cs="宋体"/>
          <w:b/>
          <w:bCs/>
          <w:color w:val="auto"/>
          <w:kern w:val="0"/>
          <w:sz w:val="24"/>
          <w:szCs w:val="24"/>
          <w:lang w:bidi="ar"/>
        </w:rPr>
      </w:pPr>
      <w:r>
        <w:rPr>
          <w:rFonts w:hint="eastAsia" w:ascii="宋体" w:hAnsi="宋体" w:cs="宋体"/>
          <w:b/>
          <w:bCs/>
          <w:color w:val="auto"/>
          <w:kern w:val="0"/>
          <w:sz w:val="24"/>
          <w:szCs w:val="24"/>
          <w:lang w:val="en-US" w:eastAsia="zh-CN" w:bidi="ar"/>
        </w:rPr>
        <w:t>六</w:t>
      </w:r>
      <w:r>
        <w:rPr>
          <w:rFonts w:hint="eastAsia" w:ascii="宋体" w:hAnsi="宋体" w:eastAsia="宋体" w:cs="宋体"/>
          <w:b/>
          <w:bCs/>
          <w:color w:val="auto"/>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1、投标报名时间：潜在投标人如确定参加投标，请务必于</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12</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7</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前将“报名投标确认函”（格式见招标文件第五部分</w:t>
      </w:r>
      <w:r>
        <w:rPr>
          <w:rFonts w:hint="eastAsia" w:ascii="宋体" w:hAnsi="宋体" w:cs="宋体"/>
          <w:color w:val="auto"/>
          <w:sz w:val="24"/>
          <w:szCs w:val="24"/>
          <w:highlight w:val="none"/>
          <w:lang w:val="en-US" w:eastAsia="zh-CN"/>
        </w:rPr>
        <w:t>附件11</w:t>
      </w:r>
      <w:r>
        <w:rPr>
          <w:rFonts w:hint="eastAsia" w:ascii="宋体" w:hAnsi="宋体" w:eastAsia="宋体" w:cs="宋体"/>
          <w:color w:val="auto"/>
          <w:sz w:val="24"/>
          <w:szCs w:val="24"/>
          <w:highlight w:val="none"/>
        </w:rPr>
        <w:t>）填写完整后扫描</w:t>
      </w:r>
      <w:r>
        <w:rPr>
          <w:rFonts w:hint="eastAsia" w:ascii="宋体" w:hAnsi="宋体" w:cs="宋体"/>
          <w:color w:val="auto"/>
          <w:sz w:val="24"/>
          <w:szCs w:val="24"/>
          <w:highlight w:val="none"/>
          <w:lang w:val="en-US" w:eastAsia="zh-CN"/>
        </w:rPr>
        <w:t>盖章</w:t>
      </w:r>
      <w:r>
        <w:rPr>
          <w:rFonts w:hint="eastAsia" w:ascii="宋体" w:hAnsi="宋体" w:eastAsia="宋体" w:cs="宋体"/>
          <w:color w:val="auto"/>
          <w:sz w:val="24"/>
          <w:szCs w:val="24"/>
          <w:highlight w:val="none"/>
        </w:rPr>
        <w:t>+标书费汇款记录</w:t>
      </w:r>
      <w:r>
        <w:rPr>
          <w:rFonts w:hint="eastAsia" w:ascii="宋体" w:hAnsi="宋体" w:cs="宋体"/>
          <w:color w:val="auto"/>
          <w:sz w:val="24"/>
          <w:szCs w:val="24"/>
          <w:highlight w:val="none"/>
          <w:lang w:val="en-US" w:eastAsia="zh-CN"/>
        </w:rPr>
        <w:t>截图</w:t>
      </w:r>
      <w:r>
        <w:rPr>
          <w:rFonts w:hint="eastAsia" w:ascii="宋体" w:hAnsi="宋体" w:eastAsia="宋体" w:cs="宋体"/>
          <w:color w:val="auto"/>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2、递交投标文件时间：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16</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1时00分</w:t>
      </w:r>
      <w:r>
        <w:rPr>
          <w:rFonts w:hint="eastAsia" w:ascii="宋体" w:hAnsi="宋体" w:eastAsia="宋体" w:cs="宋体"/>
          <w:color w:val="auto"/>
          <w:sz w:val="24"/>
          <w:szCs w:val="24"/>
          <w:highlight w:val="none"/>
          <w:lang w:val="en-US" w:eastAsia="zh-CN"/>
        </w:rPr>
        <w:t>前</w:t>
      </w:r>
      <w:r>
        <w:rPr>
          <w:rFonts w:hint="eastAsia" w:ascii="宋体" w:hAnsi="宋体" w:eastAsia="宋体" w:cs="宋体"/>
          <w:color w:val="auto"/>
          <w:sz w:val="24"/>
          <w:szCs w:val="24"/>
          <w:highlight w:val="none"/>
        </w:rPr>
        <w:t>将投标文件（要求密封）递交我校资产与基建处</w:t>
      </w:r>
      <w:r>
        <w:rPr>
          <w:rFonts w:hint="eastAsia" w:ascii="宋体" w:hAnsi="宋体" w:eastAsia="宋体" w:cs="宋体"/>
          <w:color w:val="auto"/>
          <w:sz w:val="24"/>
          <w:szCs w:val="24"/>
          <w:highlight w:val="none"/>
          <w:lang w:val="en-US" w:eastAsia="zh-CN"/>
        </w:rPr>
        <w:t>资产</w:t>
      </w:r>
      <w:r>
        <w:rPr>
          <w:rFonts w:hint="eastAsia" w:ascii="宋体" w:hAnsi="宋体" w:eastAsia="宋体" w:cs="宋体"/>
          <w:color w:val="auto"/>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3、响应文件接收截止时间：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16</w:t>
      </w:r>
      <w:r>
        <w:rPr>
          <w:rFonts w:hint="eastAsia" w:ascii="黑体" w:hAnsi="黑体" w:eastAsia="黑体" w:cs="黑体"/>
          <w:b/>
          <w:bCs/>
          <w:color w:val="auto"/>
          <w:sz w:val="24"/>
          <w:szCs w:val="24"/>
          <w:highlight w:val="none"/>
        </w:rPr>
        <w:t>日</w:t>
      </w:r>
      <w:r>
        <w:rPr>
          <w:rFonts w:hint="eastAsia" w:ascii="黑体" w:hAnsi="黑体" w:eastAsia="黑体" w:cs="黑体"/>
          <w:b/>
          <w:bCs/>
          <w:color w:val="auto"/>
          <w:sz w:val="24"/>
          <w:szCs w:val="24"/>
          <w:highlight w:val="none"/>
          <w:lang w:val="en-US" w:eastAsia="zh-CN"/>
        </w:rPr>
        <w:t>11</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1"/>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1"/>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color w:val="auto"/>
          <w:kern w:val="2"/>
          <w:sz w:val="24"/>
          <w:szCs w:val="24"/>
          <w:lang w:val="en-US" w:eastAsia="zh-CN"/>
        </w:rPr>
      </w:pPr>
      <w:r>
        <w:rPr>
          <w:rFonts w:hint="eastAsia" w:ascii="黑体" w:hAnsi="黑体" w:eastAsia="黑体" w:cs="黑体"/>
          <w:b/>
          <w:bCs/>
          <w:color w:val="auto"/>
          <w:kern w:val="2"/>
          <w:sz w:val="24"/>
          <w:szCs w:val="24"/>
          <w:lang w:val="en-US" w:eastAsia="zh-CN"/>
        </w:rPr>
        <w:t>技术咨询：沙老</w:t>
      </w:r>
      <w:r>
        <w:rPr>
          <w:rFonts w:hint="eastAsia" w:ascii="黑体" w:hAnsi="黑体" w:eastAsia="黑体" w:cs="黑体"/>
          <w:b/>
          <w:bCs/>
          <w:kern w:val="2"/>
          <w:sz w:val="24"/>
          <w:szCs w:val="24"/>
          <w:lang w:val="en-US" w:eastAsia="zh-CN"/>
        </w:rPr>
        <w:t>师</w:t>
      </w:r>
      <w:r>
        <w:rPr>
          <w:rFonts w:hint="default" w:ascii="黑体" w:hAnsi="黑体" w:eastAsia="黑体" w:cs="黑体"/>
          <w:b/>
          <w:bCs/>
          <w:kern w:val="2"/>
          <w:sz w:val="24"/>
          <w:szCs w:val="24"/>
          <w:lang w:val="en-US" w:eastAsia="zh-CN"/>
        </w:rPr>
        <w:t>13646269264</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宋体" w:hAnsi="宋体" w:eastAsia="宋体" w:cs="宋体"/>
          <w:kern w:val="2"/>
          <w:sz w:val="24"/>
          <w:szCs w:val="24"/>
        </w:rPr>
      </w:pPr>
      <w:r>
        <w:rPr>
          <w:rFonts w:hint="eastAsia" w:ascii="黑体" w:hAnsi="黑体" w:eastAsia="黑体" w:cs="黑体"/>
          <w:b/>
          <w:bCs/>
          <w:color w:val="auto"/>
          <w:kern w:val="2"/>
          <w:sz w:val="24"/>
          <w:szCs w:val="24"/>
          <w:lang w:val="en-US" w:eastAsia="zh-CN"/>
        </w:rPr>
        <w:t>监督电话：蔡老师0513-85301108 18068181066</w:t>
      </w:r>
      <w:r>
        <w:rPr>
          <w:rFonts w:hint="eastAsia" w:ascii="宋体" w:hAnsi="宋体" w:eastAsia="宋体" w:cs="宋体"/>
          <w:kern w:val="2"/>
          <w:sz w:val="24"/>
          <w:szCs w:val="24"/>
        </w:rPr>
        <w:t xml:space="preserve"> </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12"/>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3"/>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32</w:t>
            </w:r>
            <w:r>
              <w:rPr>
                <w:rFonts w:hint="eastAsia"/>
                <w:szCs w:val="21"/>
              </w:rPr>
              <w:t>分。▲为实质性要求，不满足作无效投标处理。其余指标有一项负偏离扣2分，扣完为止。</w:t>
            </w:r>
          </w:p>
          <w:p>
            <w:pPr>
              <w:pStyle w:val="12"/>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2"/>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szCs w:val="21"/>
                <w:lang w:val="en-US" w:eastAsia="zh-CN"/>
              </w:rPr>
            </w:pPr>
            <w:r>
              <w:rPr>
                <w:rFonts w:hint="eastAsia"/>
                <w:szCs w:val="21"/>
              </w:rPr>
              <w:t>投标人应具有</w:t>
            </w:r>
            <w:r>
              <w:rPr>
                <w:rFonts w:hint="eastAsia" w:ascii="黑体" w:hAnsi="黑体" w:eastAsia="黑体" w:cs="黑体"/>
                <w:b/>
                <w:bCs/>
                <w:szCs w:val="21"/>
              </w:rPr>
              <w:t>质量管理体系</w:t>
            </w:r>
            <w:r>
              <w:rPr>
                <w:rFonts w:hint="eastAsia" w:ascii="黑体" w:hAnsi="黑体" w:eastAsia="黑体" w:cs="黑体"/>
                <w:b/>
                <w:bCs/>
                <w:szCs w:val="21"/>
                <w:lang w:val="en-US" w:eastAsia="zh-CN"/>
              </w:rPr>
              <w:t>等</w:t>
            </w:r>
            <w:r>
              <w:rPr>
                <w:rFonts w:hint="eastAsia" w:ascii="黑体" w:hAnsi="黑体" w:eastAsia="黑体" w:cs="黑体"/>
                <w:b/>
                <w:bCs/>
                <w:szCs w:val="21"/>
              </w:rPr>
              <w:t>认证证书</w:t>
            </w:r>
            <w:r>
              <w:rPr>
                <w:rFonts w:hint="eastAsia" w:ascii="黑体" w:hAnsi="黑体" w:eastAsia="黑体" w:cs="黑体"/>
                <w:b/>
                <w:bCs/>
                <w:szCs w:val="21"/>
                <w:lang w:eastAsia="zh-CN"/>
              </w:rPr>
              <w:t>；</w:t>
            </w:r>
            <w:r>
              <w:rPr>
                <w:rFonts w:hint="eastAsia" w:ascii="黑体" w:hAnsi="黑体" w:eastAsia="黑体" w:cs="黑体"/>
                <w:b/>
                <w:bCs/>
                <w:szCs w:val="21"/>
                <w:lang w:val="en-US" w:eastAsia="zh-CN"/>
              </w:rPr>
              <w:t>激光设备及配件、机械设备生产、销售资质</w:t>
            </w:r>
            <w:r>
              <w:rPr>
                <w:rFonts w:hint="eastAsia"/>
                <w:szCs w:val="21"/>
              </w:rPr>
              <w:t>。提供</w:t>
            </w:r>
            <w:r>
              <w:rPr>
                <w:rFonts w:hint="eastAsia"/>
                <w:szCs w:val="21"/>
                <w:lang w:val="en-US" w:eastAsia="zh-CN"/>
              </w:rPr>
              <w:t>一项</w:t>
            </w:r>
            <w:r>
              <w:rPr>
                <w:rFonts w:hint="eastAsia"/>
                <w:szCs w:val="21"/>
              </w:rPr>
              <w:t>得1分，未提供不得分。 需提供有关证书复印件并加盖公章。</w:t>
            </w:r>
            <w:r>
              <w:rPr>
                <w:rFonts w:hint="eastAsia"/>
                <w:szCs w:val="21"/>
                <w:lang w:val="en-US" w:eastAsia="zh-CN"/>
              </w:rPr>
              <w:t>最多得5分。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 xml:space="preserve">根据投标人在质保期内可免费提供的备件与耗材数量以及质保期外备品备件的耐用度、价格或折扣等因素进行评分，优得3分，良得2分，一般得1分，未提供不得分。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w:t>
            </w:r>
            <w:r>
              <w:rPr>
                <w:rFonts w:hint="eastAsia"/>
                <w:szCs w:val="21"/>
                <w:lang w:val="en-US" w:eastAsia="zh-CN"/>
              </w:rPr>
              <w:t>1</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lang w:val="en-US" w:eastAsia="zh-CN"/>
              </w:rPr>
              <w:t>2</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lang w:val="en-US" w:eastAsia="zh-CN"/>
              </w:rPr>
              <w:t>2</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bookmarkStart w:id="58" w:name="_GoBack"/>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53" w:lineRule="auto"/>
        <w:ind w:firstLine="482" w:firstLineChars="200"/>
        <w:rPr>
          <w:rFonts w:hint="eastAsia"/>
          <w:b/>
          <w:sz w:val="24"/>
        </w:rPr>
      </w:pPr>
      <w:r>
        <w:rPr>
          <w:rFonts w:hint="eastAsia"/>
          <w:b/>
          <w:sz w:val="24"/>
        </w:rPr>
        <w:t>一、货物需求一览表</w:t>
      </w:r>
    </w:p>
    <w:p>
      <w:pPr>
        <w:spacing w:line="353" w:lineRule="auto"/>
        <w:ind w:firstLine="482" w:firstLineChars="200"/>
        <w:rPr>
          <w:rFonts w:hint="default"/>
          <w:b/>
          <w:sz w:val="24"/>
          <w:lang w:val="en-US" w:eastAsia="zh-CN"/>
        </w:rPr>
      </w:pPr>
      <w:r>
        <w:rPr>
          <w:rFonts w:hint="eastAsia"/>
          <w:b/>
          <w:sz w:val="24"/>
          <w:lang w:val="en-US" w:eastAsia="zh-CN"/>
        </w:rPr>
        <w:t>详见附件</w:t>
      </w:r>
    </w:p>
    <w:p>
      <w:pPr>
        <w:spacing w:line="353" w:lineRule="auto"/>
        <w:ind w:firstLine="482" w:firstLineChars="200"/>
        <w:rPr>
          <w:rFonts w:hint="eastAsia"/>
          <w:b/>
          <w:sz w:val="24"/>
        </w:rPr>
      </w:pPr>
      <w:r>
        <w:rPr>
          <w:rFonts w:hint="eastAsia"/>
          <w:b/>
          <w:sz w:val="24"/>
          <w:lang w:val="en-US" w:eastAsia="zh-CN"/>
        </w:rPr>
        <w:t>二、</w:t>
      </w: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3"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合同生效后20天内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w:t>
      </w:r>
      <w:r>
        <w:rPr>
          <w:rFonts w:hint="eastAsia" w:ascii="宋体" w:hAnsi="宋体" w:cs="宋体"/>
          <w:sz w:val="24"/>
          <w:szCs w:val="24"/>
          <w:lang w:val="en-US" w:eastAsia="zh-CN"/>
        </w:rPr>
        <w:t>将设备送到</w:t>
      </w:r>
      <w:r>
        <w:rPr>
          <w:rFonts w:hint="eastAsia" w:ascii="宋体" w:hAnsi="宋体" w:eastAsia="宋体" w:cs="宋体"/>
          <w:sz w:val="24"/>
          <w:szCs w:val="24"/>
        </w:rPr>
        <w:t>现场，确保按时</w:t>
      </w:r>
      <w:r>
        <w:rPr>
          <w:rFonts w:hint="eastAsia" w:ascii="宋体" w:hAnsi="宋体" w:cs="宋体"/>
          <w:sz w:val="24"/>
          <w:szCs w:val="24"/>
          <w:lang w:val="en-US" w:eastAsia="zh-CN"/>
        </w:rPr>
        <w:t>调试</w:t>
      </w:r>
      <w:r>
        <w:rPr>
          <w:rFonts w:hint="eastAsia" w:ascii="宋体" w:hAnsi="宋体" w:eastAsia="宋体" w:cs="宋体"/>
          <w:sz w:val="24"/>
          <w:szCs w:val="24"/>
        </w:rPr>
        <w:t>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spacing w:before="87" w:line="223" w:lineRule="auto"/>
        <w:ind w:left="2639"/>
        <w:rPr>
          <w:rFonts w:ascii="宋体" w:hAnsi="宋体" w:eastAsia="宋体" w:cs="宋体"/>
          <w:spacing w:val="-3"/>
          <w:sz w:val="43"/>
          <w:szCs w:val="43"/>
          <w14:textOutline w14:w="7968" w14:cap="flat" w14:cmpd="sng">
            <w14:solidFill>
              <w14:srgbClr w14:val="000000"/>
            </w14:solidFill>
            <w14:prstDash w14:val="solid"/>
            <w14:miter w14:val="0"/>
          </w14:textOutline>
        </w:rPr>
      </w:pPr>
      <w:bookmarkStart w:id="4" w:name="_Toc34991461"/>
      <w:bookmarkStart w:id="5" w:name="_Toc12022"/>
      <w:bookmarkStart w:id="6" w:name="_Toc231279586"/>
      <w:bookmarkStart w:id="7" w:name="_Toc231284489"/>
      <w:bookmarkStart w:id="8" w:name="_Toc231280344"/>
      <w:bookmarkStart w:id="9" w:name="_Toc231280938"/>
      <w:bookmarkStart w:id="10" w:name="_Toc231289771"/>
      <w:bookmarkStart w:id="11" w:name="_Toc231305090"/>
      <w:bookmarkStart w:id="12" w:name="_Toc231289932"/>
      <w:bookmarkStart w:id="13" w:name="_Toc231279666"/>
      <w:bookmarkStart w:id="14" w:name="_Toc231280804"/>
      <w:bookmarkStart w:id="15" w:name="_Toc231279156"/>
      <w:bookmarkStart w:id="16" w:name="_Toc231276966"/>
      <w:bookmarkStart w:id="17" w:name="_Toc231286901"/>
      <w:bookmarkStart w:id="18" w:name="_Toc231279247"/>
      <w:bookmarkStart w:id="19" w:name="_Toc231289905"/>
      <w:bookmarkStart w:id="20" w:name="_Toc231281339"/>
      <w:bookmarkStart w:id="21" w:name="_Toc231279737"/>
      <w:bookmarkStart w:id="22" w:name="_Toc231304988"/>
      <w:bookmarkStart w:id="23" w:name="_Toc231282228"/>
      <w:bookmarkStart w:id="24" w:name="_Toc231281705"/>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3"/>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4"/>
        <w:rPr>
          <w:rFonts w:ascii="宋体" w:hAnsi="宋体"/>
          <w:b/>
          <w:bCs w:val="0"/>
          <w:color w:val="000000"/>
          <w:sz w:val="21"/>
          <w:szCs w:val="21"/>
        </w:rPr>
      </w:pPr>
      <w:bookmarkStart w:id="25" w:name="_Toc34991462"/>
      <w:bookmarkStart w:id="26" w:name="_Toc30593"/>
      <w:bookmarkStart w:id="27" w:name="_Toc231279589"/>
      <w:bookmarkStart w:id="28" w:name="_Toc231289935"/>
      <w:bookmarkStart w:id="29" w:name="_Toc231281342"/>
      <w:bookmarkStart w:id="30" w:name="_Toc407266082"/>
      <w:bookmarkStart w:id="31" w:name="_Toc231281708"/>
      <w:bookmarkStart w:id="32" w:name="_Toc231286904"/>
      <w:bookmarkStart w:id="33" w:name="_Toc231289774"/>
      <w:bookmarkStart w:id="34" w:name="_Toc231279740"/>
      <w:bookmarkStart w:id="35" w:name="_Toc231282231"/>
      <w:bookmarkStart w:id="36" w:name="_Toc231280941"/>
      <w:bookmarkStart w:id="37" w:name="_Toc231305093"/>
      <w:bookmarkStart w:id="38" w:name="_Toc231279669"/>
      <w:bookmarkStart w:id="39" w:name="_Toc231304991"/>
      <w:bookmarkStart w:id="40" w:name="_Toc231280347"/>
      <w:bookmarkStart w:id="41" w:name="_Toc231289908"/>
      <w:bookmarkStart w:id="42" w:name="_Toc231280807"/>
      <w:bookmarkStart w:id="43" w:name="_Toc231284492"/>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4"/>
        <w:rPr>
          <w:rFonts w:ascii="宋体"/>
          <w:b w:val="0"/>
          <w:color w:val="000000"/>
          <w:sz w:val="36"/>
          <w:szCs w:val="36"/>
        </w:rPr>
      </w:pPr>
      <w:r>
        <w:rPr>
          <w:rFonts w:ascii="宋体"/>
          <w:color w:val="000000"/>
          <w:spacing w:val="4"/>
          <w:sz w:val="24"/>
        </w:rPr>
        <w:br w:type="page"/>
      </w:r>
      <w:bookmarkStart w:id="44" w:name="_Toc7052"/>
      <w:bookmarkStart w:id="45" w:name="_Toc34991463"/>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4"/>
        <w:rPr>
          <w:rFonts w:ascii="宋体" w:hAnsi="宋体"/>
          <w:color w:val="000000"/>
          <w:spacing w:val="4"/>
          <w:sz w:val="24"/>
        </w:rPr>
      </w:pPr>
    </w:p>
    <w:p>
      <w:pPr>
        <w:pStyle w:val="4"/>
        <w:rPr>
          <w:rFonts w:ascii="宋体" w:hAnsi="宋体"/>
          <w:color w:val="000000"/>
          <w:spacing w:val="4"/>
          <w:sz w:val="24"/>
        </w:rPr>
      </w:pPr>
      <w:r>
        <w:rPr>
          <w:rFonts w:ascii="宋体" w:hAnsi="宋体"/>
          <w:color w:val="000000"/>
          <w:spacing w:val="4"/>
          <w:sz w:val="24"/>
        </w:rPr>
        <w:br w:type="page"/>
      </w:r>
      <w:bookmarkStart w:id="46" w:name="_Toc34991464"/>
      <w:bookmarkStart w:id="47" w:name="_Toc8152"/>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2"/>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4"/>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4"/>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4"/>
        <w:rPr>
          <w:rFonts w:ascii="宋体"/>
          <w:b w:val="0"/>
          <w:color w:val="000000"/>
          <w:sz w:val="36"/>
          <w:szCs w:val="36"/>
        </w:rPr>
      </w:pPr>
      <w:r>
        <w:rPr>
          <w:rFonts w:ascii="宋体"/>
          <w:color w:val="000000"/>
          <w:sz w:val="24"/>
        </w:rPr>
        <w:br w:type="page"/>
      </w:r>
      <w:bookmarkStart w:id="48" w:name="_Toc17756"/>
      <w:bookmarkStart w:id="49" w:name="_Toc34991465"/>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4"/>
        <w:rPr>
          <w:rFonts w:ascii="宋体" w:hAnsi="宋体"/>
          <w:b w:val="0"/>
          <w:color w:val="000000"/>
          <w:sz w:val="21"/>
          <w:szCs w:val="21"/>
        </w:rPr>
      </w:pPr>
      <w:bookmarkStart w:id="50" w:name="_Toc34991466"/>
      <w:bookmarkStart w:id="51" w:name="_Toc29319"/>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4"/>
        <w:rPr>
          <w:color w:val="000000"/>
        </w:rPr>
      </w:pPr>
      <w:bookmarkStart w:id="52" w:name="_Toc34991467"/>
      <w:bookmarkStart w:id="53" w:name="_Toc13075"/>
      <w:r>
        <w:rPr>
          <w:color w:val="000000"/>
          <w:sz w:val="21"/>
          <w:szCs w:val="24"/>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1312;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59264;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2336;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0288;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2"/>
        <w:spacing w:line="290" w:lineRule="auto"/>
      </w:pPr>
    </w:p>
    <w:p>
      <w:pPr>
        <w:pStyle w:val="2"/>
        <w:spacing w:line="290" w:lineRule="auto"/>
      </w:pPr>
    </w:p>
    <w:p>
      <w:pPr>
        <w:pStyle w:val="2"/>
        <w:spacing w:line="291" w:lineRule="auto"/>
      </w:pPr>
    </w:p>
    <w:p>
      <w:pPr>
        <w:pStyle w:val="2"/>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2"/>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2"/>
        <w:spacing w:line="252" w:lineRule="auto"/>
      </w:pPr>
    </w:p>
    <w:p>
      <w:pPr>
        <w:pStyle w:val="2"/>
        <w:spacing w:line="252" w:lineRule="auto"/>
      </w:pPr>
    </w:p>
    <w:p>
      <w:pPr>
        <w:pStyle w:val="2"/>
        <w:spacing w:line="252" w:lineRule="auto"/>
      </w:pPr>
    </w:p>
    <w:p>
      <w:pPr>
        <w:pStyle w:val="2"/>
        <w:spacing w:line="252" w:lineRule="auto"/>
      </w:pPr>
    </w:p>
    <w:p>
      <w:pPr>
        <w:pStyle w:val="2"/>
        <w:spacing w:line="253" w:lineRule="auto"/>
      </w:pPr>
    </w:p>
    <w:p>
      <w:pPr>
        <w:pStyle w:val="2"/>
        <w:spacing w:line="253" w:lineRule="auto"/>
      </w:pPr>
    </w:p>
    <w:p>
      <w:pPr>
        <w:pStyle w:val="2"/>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4"/>
        <w:rPr>
          <w:color w:val="000000"/>
        </w:rPr>
      </w:pPr>
    </w:p>
    <w:p>
      <w:pPr>
        <w:pStyle w:val="4"/>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2"/>
        <w:spacing w:line="317" w:lineRule="auto"/>
      </w:pPr>
    </w:p>
    <w:p>
      <w:pPr>
        <w:pStyle w:val="2"/>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2"/>
        <w:spacing w:line="244" w:lineRule="auto"/>
      </w:pPr>
    </w:p>
    <w:p>
      <w:pPr>
        <w:pStyle w:val="2"/>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2"/>
        <w:rPr>
          <w:rFonts w:ascii="宋体" w:hAnsi="宋体" w:eastAsia="宋体" w:cs="宋体"/>
          <w:spacing w:val="-10"/>
          <w:sz w:val="28"/>
          <w:szCs w:val="28"/>
        </w:rPr>
      </w:pPr>
    </w:p>
    <w:p>
      <w:pPr>
        <w:pStyle w:val="4"/>
        <w:rPr>
          <w:b w:val="0"/>
          <w:color w:val="000000"/>
          <w:sz w:val="44"/>
          <w:szCs w:val="44"/>
        </w:rPr>
      </w:pPr>
      <w:bookmarkStart w:id="56" w:name="_Toc30136"/>
      <w:bookmarkStart w:id="57" w:name="_Toc34991468"/>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2"/>
        <w:rPr>
          <w:rFonts w:ascii="宋体" w:hAnsi="宋体" w:eastAsia="宋体" w:cs="宋体"/>
          <w:spacing w:val="-10"/>
          <w:sz w:val="28"/>
          <w:szCs w:val="28"/>
        </w:rPr>
      </w:pPr>
    </w:p>
    <w:sectPr>
      <w:headerReference r:id="rId4" w:type="default"/>
      <w:footerReference r:id="rId5"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2081F"/>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6D4C49"/>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BB5368"/>
    <w:rsid w:val="0DC7755F"/>
    <w:rsid w:val="0E995732"/>
    <w:rsid w:val="0EAF24CD"/>
    <w:rsid w:val="0EF12411"/>
    <w:rsid w:val="0F163C4D"/>
    <w:rsid w:val="0F315D59"/>
    <w:rsid w:val="0F491384"/>
    <w:rsid w:val="0F4D7792"/>
    <w:rsid w:val="0FB86E64"/>
    <w:rsid w:val="0FD23F5F"/>
    <w:rsid w:val="0FED6606"/>
    <w:rsid w:val="101C0C30"/>
    <w:rsid w:val="102F5FF2"/>
    <w:rsid w:val="10A122E9"/>
    <w:rsid w:val="10A34788"/>
    <w:rsid w:val="10EF574B"/>
    <w:rsid w:val="116575D6"/>
    <w:rsid w:val="11A007F3"/>
    <w:rsid w:val="12981050"/>
    <w:rsid w:val="13841069"/>
    <w:rsid w:val="145566DF"/>
    <w:rsid w:val="1457547C"/>
    <w:rsid w:val="146F4B92"/>
    <w:rsid w:val="147F2942"/>
    <w:rsid w:val="14C52920"/>
    <w:rsid w:val="14C63838"/>
    <w:rsid w:val="14D44663"/>
    <w:rsid w:val="152F7E36"/>
    <w:rsid w:val="156D0294"/>
    <w:rsid w:val="167F3072"/>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B78545F"/>
    <w:rsid w:val="1C0466A8"/>
    <w:rsid w:val="1C13564D"/>
    <w:rsid w:val="1C364BBA"/>
    <w:rsid w:val="1C5A0D28"/>
    <w:rsid w:val="1CA476F7"/>
    <w:rsid w:val="1CDE25D6"/>
    <w:rsid w:val="1CFC4FCF"/>
    <w:rsid w:val="1D7D3B03"/>
    <w:rsid w:val="1E6D7CAF"/>
    <w:rsid w:val="1F3D6311"/>
    <w:rsid w:val="1F516BBD"/>
    <w:rsid w:val="1FEE0EDB"/>
    <w:rsid w:val="206760C5"/>
    <w:rsid w:val="207F2647"/>
    <w:rsid w:val="20801F1B"/>
    <w:rsid w:val="21391D4A"/>
    <w:rsid w:val="21AA36F4"/>
    <w:rsid w:val="22C97E48"/>
    <w:rsid w:val="232832FF"/>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1934DC"/>
    <w:rsid w:val="2D202ABC"/>
    <w:rsid w:val="2D2B3EDE"/>
    <w:rsid w:val="2D6C3CDD"/>
    <w:rsid w:val="2DCE28FC"/>
    <w:rsid w:val="2E832474"/>
    <w:rsid w:val="2EBD433B"/>
    <w:rsid w:val="2EFF1B09"/>
    <w:rsid w:val="2F3945C8"/>
    <w:rsid w:val="2FD7142C"/>
    <w:rsid w:val="30063CE0"/>
    <w:rsid w:val="302A3C52"/>
    <w:rsid w:val="30830122"/>
    <w:rsid w:val="308560E4"/>
    <w:rsid w:val="30ED7B79"/>
    <w:rsid w:val="30FB2C26"/>
    <w:rsid w:val="3166515D"/>
    <w:rsid w:val="31C854D0"/>
    <w:rsid w:val="324575E5"/>
    <w:rsid w:val="32596A25"/>
    <w:rsid w:val="34106280"/>
    <w:rsid w:val="342F3A6A"/>
    <w:rsid w:val="34652CD6"/>
    <w:rsid w:val="358677E9"/>
    <w:rsid w:val="35F966E1"/>
    <w:rsid w:val="364E7665"/>
    <w:rsid w:val="36971C9C"/>
    <w:rsid w:val="36D601E8"/>
    <w:rsid w:val="371C5AC4"/>
    <w:rsid w:val="37E27915"/>
    <w:rsid w:val="383F7F67"/>
    <w:rsid w:val="389D2E5E"/>
    <w:rsid w:val="38E8560F"/>
    <w:rsid w:val="391C0B65"/>
    <w:rsid w:val="39CE671F"/>
    <w:rsid w:val="39FF1CAB"/>
    <w:rsid w:val="3A6B3EB0"/>
    <w:rsid w:val="3A7206CF"/>
    <w:rsid w:val="3AF60EC6"/>
    <w:rsid w:val="3B00217F"/>
    <w:rsid w:val="3B5211DC"/>
    <w:rsid w:val="3B7675A0"/>
    <w:rsid w:val="3BF3157C"/>
    <w:rsid w:val="3C340801"/>
    <w:rsid w:val="3C7A1ABD"/>
    <w:rsid w:val="3CFF5E1E"/>
    <w:rsid w:val="3D9267FC"/>
    <w:rsid w:val="3E391328"/>
    <w:rsid w:val="3E7D6853"/>
    <w:rsid w:val="3EA4349B"/>
    <w:rsid w:val="3ECF32FA"/>
    <w:rsid w:val="3FEE7EAC"/>
    <w:rsid w:val="40762F92"/>
    <w:rsid w:val="408D6263"/>
    <w:rsid w:val="41303810"/>
    <w:rsid w:val="416A65A4"/>
    <w:rsid w:val="4198777F"/>
    <w:rsid w:val="42073DF3"/>
    <w:rsid w:val="4218578B"/>
    <w:rsid w:val="431626E0"/>
    <w:rsid w:val="43654233"/>
    <w:rsid w:val="44557675"/>
    <w:rsid w:val="44B07A08"/>
    <w:rsid w:val="45150F64"/>
    <w:rsid w:val="45BB5620"/>
    <w:rsid w:val="46363230"/>
    <w:rsid w:val="464579F7"/>
    <w:rsid w:val="46C0348B"/>
    <w:rsid w:val="46FD1054"/>
    <w:rsid w:val="47BB194D"/>
    <w:rsid w:val="485A31EE"/>
    <w:rsid w:val="48876C49"/>
    <w:rsid w:val="489F5E3B"/>
    <w:rsid w:val="48AB7EFE"/>
    <w:rsid w:val="490258E8"/>
    <w:rsid w:val="49342513"/>
    <w:rsid w:val="4A0A53EF"/>
    <w:rsid w:val="4B054307"/>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37B6BA0"/>
    <w:rsid w:val="54D23DEC"/>
    <w:rsid w:val="56215851"/>
    <w:rsid w:val="56C305BB"/>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0B0DB2"/>
    <w:rsid w:val="616B0426"/>
    <w:rsid w:val="61B91426"/>
    <w:rsid w:val="62126170"/>
    <w:rsid w:val="628726BA"/>
    <w:rsid w:val="62B03E2D"/>
    <w:rsid w:val="635C1859"/>
    <w:rsid w:val="63C92C54"/>
    <w:rsid w:val="63F9140D"/>
    <w:rsid w:val="64F8789F"/>
    <w:rsid w:val="65DB3287"/>
    <w:rsid w:val="65EB428F"/>
    <w:rsid w:val="66093965"/>
    <w:rsid w:val="67784E22"/>
    <w:rsid w:val="67E75076"/>
    <w:rsid w:val="68435C26"/>
    <w:rsid w:val="688345E5"/>
    <w:rsid w:val="68BA0E02"/>
    <w:rsid w:val="68BA3557"/>
    <w:rsid w:val="68FA0664"/>
    <w:rsid w:val="69036A8A"/>
    <w:rsid w:val="69D525EC"/>
    <w:rsid w:val="6BC1223C"/>
    <w:rsid w:val="6BE33FA7"/>
    <w:rsid w:val="6BF55A4E"/>
    <w:rsid w:val="6C465F5C"/>
    <w:rsid w:val="6C6178D9"/>
    <w:rsid w:val="6D95791B"/>
    <w:rsid w:val="6FDD7144"/>
    <w:rsid w:val="70281CF1"/>
    <w:rsid w:val="70B34FC2"/>
    <w:rsid w:val="71294FA1"/>
    <w:rsid w:val="71885DD2"/>
    <w:rsid w:val="71D72C0E"/>
    <w:rsid w:val="71E219F3"/>
    <w:rsid w:val="72224E32"/>
    <w:rsid w:val="72370CB6"/>
    <w:rsid w:val="72963BA6"/>
    <w:rsid w:val="729907F9"/>
    <w:rsid w:val="72C47013"/>
    <w:rsid w:val="732B25B2"/>
    <w:rsid w:val="73557ED4"/>
    <w:rsid w:val="73CC7AC9"/>
    <w:rsid w:val="747554DC"/>
    <w:rsid w:val="74E90FB2"/>
    <w:rsid w:val="7548217D"/>
    <w:rsid w:val="75812F99"/>
    <w:rsid w:val="759728B6"/>
    <w:rsid w:val="75B94E29"/>
    <w:rsid w:val="763A7532"/>
    <w:rsid w:val="7662297F"/>
    <w:rsid w:val="77C16289"/>
    <w:rsid w:val="77C819C8"/>
    <w:rsid w:val="77D53B6D"/>
    <w:rsid w:val="77F9775E"/>
    <w:rsid w:val="78246CD9"/>
    <w:rsid w:val="78930A25"/>
    <w:rsid w:val="79427311"/>
    <w:rsid w:val="7A5806A3"/>
    <w:rsid w:val="7A835A7B"/>
    <w:rsid w:val="7A9018C8"/>
    <w:rsid w:val="7AE077B3"/>
    <w:rsid w:val="7B7E5661"/>
    <w:rsid w:val="7C0204A3"/>
    <w:rsid w:val="7C5807CC"/>
    <w:rsid w:val="7C6A78A5"/>
    <w:rsid w:val="7C807AD4"/>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4"/>
    <w:autoRedefine/>
    <w:qFormat/>
    <w:uiPriority w:val="0"/>
    <w:pPr>
      <w:snapToGrid w:val="0"/>
      <w:spacing w:before="120" w:after="120" w:line="360" w:lineRule="auto"/>
    </w:pPr>
    <w:rPr>
      <w:rFonts w:ascii="宋体" w:hAnsi="宋体"/>
      <w:sz w:val="24"/>
      <w:szCs w:val="20"/>
    </w:rPr>
  </w:style>
  <w:style w:type="paragraph" w:styleId="6">
    <w:name w:val="Normal Indent"/>
    <w:basedOn w:val="1"/>
    <w:autoRedefine/>
    <w:qFormat/>
    <w:uiPriority w:val="0"/>
    <w:pPr>
      <w:ind w:firstLine="420"/>
    </w:pPr>
    <w:rPr>
      <w:szCs w:val="20"/>
    </w:rPr>
  </w:style>
  <w:style w:type="paragraph" w:styleId="7">
    <w:name w:val="annotation text"/>
    <w:basedOn w:val="1"/>
    <w:link w:val="28"/>
    <w:autoRedefine/>
    <w:unhideWhenUsed/>
    <w:qFormat/>
    <w:uiPriority w:val="99"/>
    <w:pPr>
      <w:jc w:val="left"/>
    </w:pPr>
    <w:rPr>
      <w:szCs w:val="21"/>
    </w:rPr>
  </w:style>
  <w:style w:type="paragraph" w:styleId="8">
    <w:name w:val="Plain Text"/>
    <w:basedOn w:val="1"/>
    <w:link w:val="25"/>
    <w:autoRedefine/>
    <w:qFormat/>
    <w:uiPriority w:val="0"/>
    <w:rPr>
      <w:rFonts w:ascii="宋体" w:hAnsi="Courier New"/>
      <w:szCs w:val="20"/>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Autospacing="1" w:afterAutospacing="1"/>
      <w:jc w:val="left"/>
    </w:pPr>
    <w:rPr>
      <w:rFonts w:ascii="Calibri" w:hAnsi="Calibri"/>
      <w:kern w:val="0"/>
      <w:sz w:val="24"/>
    </w:rPr>
  </w:style>
  <w:style w:type="paragraph" w:styleId="12">
    <w:name w:val="Body Text First Indent"/>
    <w:basedOn w:val="2"/>
    <w:autoRedefine/>
    <w:qFormat/>
    <w:uiPriority w:val="99"/>
    <w:pPr>
      <w:ind w:firstLine="420" w:firstLineChars="100"/>
    </w:p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rPr>
      <w:rFonts w:ascii="Times New Roman" w:hAnsi="Times New Roman" w:eastAsia="宋体" w:cs="Times New Roman"/>
    </w:rPr>
  </w:style>
  <w:style w:type="character" w:styleId="17">
    <w:name w:val="Hyperlink"/>
    <w:basedOn w:val="15"/>
    <w:autoRedefine/>
    <w:unhideWhenUsed/>
    <w:qFormat/>
    <w:uiPriority w:val="99"/>
    <w:rPr>
      <w:color w:val="0000FF"/>
      <w:u w:val="single"/>
    </w:rPr>
  </w:style>
  <w:style w:type="paragraph" w:customStyle="1" w:styleId="18">
    <w:name w:val="Default"/>
    <w:next w:val="19"/>
    <w:autoRedefine/>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1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0">
    <w:name w:val="列出段落1"/>
    <w:basedOn w:val="1"/>
    <w:autoRedefine/>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autoRedefine/>
    <w:qFormat/>
    <w:uiPriority w:val="0"/>
  </w:style>
  <w:style w:type="character" w:customStyle="1" w:styleId="23">
    <w:name w:val="标题 3 字符"/>
    <w:link w:val="5"/>
    <w:autoRedefine/>
    <w:semiHidden/>
    <w:qFormat/>
    <w:uiPriority w:val="0"/>
    <w:rPr>
      <w:b/>
      <w:bCs/>
      <w:kern w:val="2"/>
      <w:sz w:val="32"/>
      <w:szCs w:val="32"/>
    </w:rPr>
  </w:style>
  <w:style w:type="character" w:customStyle="1" w:styleId="24">
    <w:name w:val="正文文本 字符"/>
    <w:link w:val="2"/>
    <w:autoRedefine/>
    <w:qFormat/>
    <w:uiPriority w:val="0"/>
    <w:rPr>
      <w:rFonts w:ascii="宋体" w:hAnsi="宋体"/>
      <w:kern w:val="2"/>
      <w:sz w:val="24"/>
    </w:rPr>
  </w:style>
  <w:style w:type="character" w:customStyle="1" w:styleId="25">
    <w:name w:val="纯文本 字符"/>
    <w:link w:val="8"/>
    <w:autoRedefine/>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5"/>
    <w:link w:val="7"/>
    <w:autoRedefine/>
    <w:qFormat/>
    <w:uiPriority w:val="99"/>
    <w:rPr>
      <w:kern w:val="2"/>
      <w:sz w:val="21"/>
      <w:szCs w:val="21"/>
    </w:rPr>
  </w:style>
  <w:style w:type="character" w:customStyle="1" w:styleId="29">
    <w:name w:val="15"/>
    <w:basedOn w:val="15"/>
    <w:autoRedefine/>
    <w:qFormat/>
    <w:uiPriority w:val="0"/>
    <w:rPr>
      <w:rFonts w:hint="eastAsia" w:ascii="宋体" w:hAnsi="宋体" w:eastAsia="宋体"/>
      <w:color w:val="000000"/>
      <w:sz w:val="20"/>
      <w:szCs w:val="20"/>
    </w:rPr>
  </w:style>
  <w:style w:type="paragraph" w:customStyle="1" w:styleId="30">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autoRedefine/>
    <w:qFormat/>
    <w:uiPriority w:val="0"/>
    <w:rPr>
      <w:rFonts w:ascii="宋体" w:hAnsi="Courier New"/>
      <w:szCs w:val="21"/>
    </w:rPr>
  </w:style>
  <w:style w:type="paragraph" w:customStyle="1" w:styleId="32">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29</TotalTime>
  <ScaleCrop>false</ScaleCrop>
  <LinksUpToDate>false</LinksUpToDate>
  <CharactersWithSpaces>11267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2024-04-08T09:16:54Z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8A70C8F2B8504748A12F2AC361E225A9_13</vt:lpwstr>
  </property>
</Properties>
</file>