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p>
    <w:p>
      <w:pPr>
        <w:rPr>
          <w:highlight w:val="none"/>
        </w:rPr>
      </w:pPr>
    </w:p>
    <w:p>
      <w:pPr>
        <w:pStyle w:val="3"/>
        <w:jc w:val="center"/>
        <w:rPr>
          <w:sz w:val="52"/>
          <w:szCs w:val="52"/>
          <w:highlight w:val="none"/>
        </w:rPr>
      </w:pPr>
      <w:bookmarkStart w:id="0" w:name="_Toc28947"/>
      <w:r>
        <w:rPr>
          <w:rFonts w:hint="eastAsia"/>
          <w:sz w:val="52"/>
          <w:szCs w:val="52"/>
          <w:highlight w:val="none"/>
        </w:rPr>
        <w:t>南通理工学院</w:t>
      </w:r>
      <w:bookmarkEnd w:id="0"/>
    </w:p>
    <w:p>
      <w:pPr>
        <w:pStyle w:val="3"/>
        <w:jc w:val="center"/>
        <w:rPr>
          <w:highlight w:val="none"/>
          <w:lang w:eastAsia="zh-Hans"/>
        </w:rPr>
      </w:pPr>
      <w:bookmarkStart w:id="1" w:name="_Toc1870411266"/>
      <w:bookmarkStart w:id="2" w:name="_Toc120547020"/>
      <w:bookmarkStart w:id="3" w:name="_Toc9485"/>
      <w:r>
        <w:rPr>
          <w:highlight w:val="none"/>
        </w:rPr>
        <w:drawing>
          <wp:anchor distT="0" distB="0" distL="114300" distR="114300" simplePos="0" relativeHeight="251659264" behindDoc="0" locked="0" layoutInCell="1" allowOverlap="1">
            <wp:simplePos x="0" y="0"/>
            <wp:positionH relativeFrom="column">
              <wp:posOffset>-342900</wp:posOffset>
            </wp:positionH>
            <wp:positionV relativeFrom="paragraph">
              <wp:posOffset>690245</wp:posOffset>
            </wp:positionV>
            <wp:extent cx="6185535" cy="4456430"/>
            <wp:effectExtent l="0" t="0" r="1206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85535" cy="4456430"/>
                    </a:xfrm>
                    <a:prstGeom prst="rect">
                      <a:avLst/>
                    </a:prstGeom>
                    <a:noFill/>
                    <a:ln>
                      <a:noFill/>
                    </a:ln>
                  </pic:spPr>
                </pic:pic>
              </a:graphicData>
            </a:graphic>
          </wp:anchor>
        </w:drawing>
      </w:r>
      <w:r>
        <w:rPr>
          <w:rFonts w:hint="eastAsia"/>
          <w:sz w:val="52"/>
          <w:szCs w:val="52"/>
          <w:highlight w:val="none"/>
        </w:rPr>
        <w:t>危险品中转库建设</w:t>
      </w:r>
      <w:r>
        <w:rPr>
          <w:rFonts w:hint="eastAsia"/>
          <w:sz w:val="52"/>
          <w:szCs w:val="52"/>
          <w:highlight w:val="none"/>
          <w:lang w:eastAsia="zh-Hans"/>
        </w:rPr>
        <w:t>方案</w:t>
      </w:r>
      <w:bookmarkEnd w:id="1"/>
      <w:bookmarkEnd w:id="2"/>
      <w:bookmarkEnd w:id="3"/>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rPr>
          <w:highlight w:val="none"/>
          <w:lang w:eastAsia="zh-Hans"/>
        </w:rPr>
      </w:pPr>
    </w:p>
    <w:p>
      <w:pPr>
        <w:pStyle w:val="19"/>
        <w:spacing w:before="156"/>
        <w:rPr>
          <w:highlight w:val="none"/>
          <w:lang w:eastAsia="zh-Hans"/>
        </w:rPr>
      </w:pPr>
    </w:p>
    <w:p>
      <w:pPr>
        <w:rPr>
          <w:highlight w:val="none"/>
          <w:lang w:eastAsia="zh-Hans"/>
        </w:rPr>
      </w:pPr>
    </w:p>
    <w:p>
      <w:pPr>
        <w:pStyle w:val="19"/>
        <w:spacing w:before="156"/>
        <w:rPr>
          <w:highlight w:val="none"/>
          <w:lang w:eastAsia="zh-Hans"/>
        </w:rPr>
      </w:pPr>
    </w:p>
    <w:p>
      <w:pPr>
        <w:rPr>
          <w:highlight w:val="none"/>
          <w:lang w:eastAsia="zh-Hans"/>
        </w:rPr>
      </w:pPr>
    </w:p>
    <w:p>
      <w:pPr>
        <w:pStyle w:val="19"/>
        <w:spacing w:before="156"/>
        <w:rPr>
          <w:highlight w:val="none"/>
          <w:lang w:eastAsia="zh-Hans"/>
        </w:rPr>
      </w:pPr>
    </w:p>
    <w:p>
      <w:pPr>
        <w:rPr>
          <w:highlight w:val="none"/>
          <w:lang w:eastAsia="zh-Hans"/>
        </w:rPr>
      </w:pPr>
    </w:p>
    <w:p>
      <w:pPr>
        <w:pStyle w:val="19"/>
        <w:spacing w:before="156"/>
        <w:rPr>
          <w:highlight w:val="none"/>
          <w:lang w:eastAsia="zh-Hans"/>
        </w:rPr>
      </w:pPr>
    </w:p>
    <w:p>
      <w:pPr>
        <w:spacing w:line="276" w:lineRule="auto"/>
        <w:rPr>
          <w:rFonts w:ascii="微软雅黑" w:hAnsi="微软雅黑"/>
          <w:color w:val="000000"/>
          <w:highlight w:val="none"/>
        </w:rPr>
      </w:pPr>
    </w:p>
    <w:p>
      <w:pPr>
        <w:rPr>
          <w:highlight w:val="none"/>
          <w:lang w:eastAsia="zh-Hans"/>
        </w:rPr>
      </w:pPr>
    </w:p>
    <w:p>
      <w:pPr>
        <w:pStyle w:val="2"/>
        <w:rPr>
          <w:highlight w:val="none"/>
          <w:lang w:eastAsia="zh-Hans"/>
        </w:rPr>
      </w:pPr>
    </w:p>
    <w:p>
      <w:pPr>
        <w:rPr>
          <w:highlight w:val="none"/>
          <w:lang w:eastAsia="zh-Hans"/>
        </w:rPr>
      </w:pPr>
    </w:p>
    <w:p>
      <w:pPr>
        <w:pStyle w:val="2"/>
        <w:rPr>
          <w:highlight w:val="none"/>
          <w:lang w:eastAsia="zh-Hans"/>
        </w:rPr>
      </w:pPr>
    </w:p>
    <w:p>
      <w:pPr>
        <w:rPr>
          <w:highlight w:val="none"/>
          <w:lang w:eastAsia="zh-Hans"/>
        </w:rPr>
      </w:pPr>
    </w:p>
    <w:p>
      <w:pPr>
        <w:pStyle w:val="2"/>
        <w:rPr>
          <w:highlight w:val="none"/>
          <w:lang w:eastAsia="zh-Hans"/>
        </w:rPr>
      </w:pPr>
    </w:p>
    <w:p>
      <w:pPr>
        <w:rPr>
          <w:highlight w:val="none"/>
          <w:lang w:eastAsia="zh-Hans"/>
        </w:rPr>
      </w:pPr>
    </w:p>
    <w:p>
      <w:pPr>
        <w:pStyle w:val="2"/>
        <w:rPr>
          <w:lang w:eastAsia="zh-Hans"/>
        </w:rPr>
      </w:pPr>
    </w:p>
    <w:p>
      <w:pPr>
        <w:pStyle w:val="4"/>
        <w:numPr>
          <w:ilvl w:val="0"/>
          <w:numId w:val="2"/>
        </w:numPr>
        <w:spacing w:line="360" w:lineRule="auto"/>
        <w:rPr>
          <w:b/>
          <w:bCs/>
          <w:highlight w:val="none"/>
        </w:rPr>
      </w:pPr>
      <w:bookmarkStart w:id="4" w:name="_Toc19057"/>
      <w:bookmarkStart w:id="5" w:name="_Toc13610"/>
      <w:bookmarkStart w:id="6" w:name="_Toc780"/>
      <w:bookmarkStart w:id="7" w:name="_Toc49941330"/>
      <w:bookmarkStart w:id="8" w:name="_Toc7899"/>
      <w:bookmarkStart w:id="9" w:name="_Toc49934003"/>
      <w:r>
        <w:rPr>
          <w:rFonts w:hint="eastAsia"/>
          <w:b/>
          <w:bCs/>
          <w:highlight w:val="none"/>
          <w:lang w:val="en-US" w:eastAsia="zh-CN"/>
        </w:rPr>
        <w:t>基础配套及功能需求</w:t>
      </w:r>
      <w:r>
        <w:rPr>
          <w:rFonts w:hint="eastAsia"/>
          <w:b/>
          <w:bCs/>
          <w:highlight w:val="none"/>
        </w:rPr>
        <w:t>情况</w:t>
      </w:r>
      <w:bookmarkEnd w:id="4"/>
      <w:bookmarkEnd w:id="5"/>
      <w:bookmarkEnd w:id="6"/>
      <w:bookmarkEnd w:id="7"/>
      <w:bookmarkEnd w:id="8"/>
      <w:bookmarkEnd w:id="9"/>
    </w:p>
    <w:p>
      <w:pPr>
        <w:autoSpaceDE w:val="0"/>
        <w:autoSpaceDN w:val="0"/>
        <w:adjustRightInd w:val="0"/>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根据我校目前准备新建的库房面积约为91㎡，主要包含新品存储和废品暂存功能，新品存储主要含危化品室、剧毒品间、普通药品间；废品暂存主要含危废间、医废间、油品间、蓄电池间，定期学校统一处理；管理间负责出入库管理和台帐，配置一体化智能柜，实时了解库房各区情况，借出品使用情况，留存情况等信息，配置大屏显示系统和扩声系统，方便各部门检查和展示。目前学校危化品种类主要有存储亚硝酸钠、钠石灰、氢氧化钠、浓硫酸、甲酸、盐酸。易制毒易制爆等管制类药品。另外二级学院需配置一体式危化品暂存设备及相应软件，做到每次使用情况实时跟踪，全生命周期监测，实现闭环管理。</w:t>
      </w:r>
    </w:p>
    <w:p>
      <w:pPr>
        <w:autoSpaceDE w:val="0"/>
        <w:autoSpaceDN w:val="0"/>
        <w:adjustRightInd w:val="0"/>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本次危险化学品中转库建设主要包含以下内容：</w:t>
      </w:r>
    </w:p>
    <w:p>
      <w:pPr>
        <w:numPr>
          <w:ilvl w:val="0"/>
          <w:numId w:val="0"/>
        </w:numPr>
        <w:autoSpaceDE w:val="0"/>
        <w:autoSpaceDN w:val="0"/>
        <w:adjustRightInd w:val="0"/>
        <w:spacing w:line="360" w:lineRule="auto"/>
        <w:jc w:val="left"/>
        <w:rPr>
          <w:rFonts w:ascii="宋体" w:hAnsi="宋体" w:cs="宋体"/>
          <w:b/>
          <w:sz w:val="28"/>
          <w:szCs w:val="28"/>
          <w:highlight w:val="none"/>
        </w:rPr>
      </w:pPr>
      <w:r>
        <w:rPr>
          <w:rFonts w:hint="eastAsia" w:ascii="宋体" w:hAnsi="宋体" w:cs="宋体"/>
          <w:b/>
          <w:sz w:val="28"/>
          <w:szCs w:val="28"/>
          <w:highlight w:val="none"/>
          <w:lang w:val="en-US" w:eastAsia="zh-CN"/>
        </w:rPr>
        <w:t>（一）</w:t>
      </w:r>
      <w:r>
        <w:rPr>
          <w:rFonts w:hint="eastAsia" w:ascii="宋体" w:hAnsi="宋体" w:cs="宋体"/>
          <w:b/>
          <w:sz w:val="28"/>
          <w:szCs w:val="28"/>
          <w:highlight w:val="none"/>
        </w:rPr>
        <w:t>基础配套改造</w:t>
      </w:r>
    </w:p>
    <w:p>
      <w:pPr>
        <w:autoSpaceDE w:val="0"/>
        <w:autoSpaceDN w:val="0"/>
        <w:adjustRightInd w:val="0"/>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加装防盗门和防火门，要求开门方向向外开启，便于逃生疏散；防盗门安全级别为乙级(含)以上；防盗锁应符合GA/T73的要求。</w:t>
      </w:r>
    </w:p>
    <w:p>
      <w:pPr>
        <w:pStyle w:val="2"/>
        <w:spacing w:line="360" w:lineRule="auto"/>
        <w:rPr>
          <w:highlight w:val="none"/>
        </w:rPr>
      </w:pPr>
      <w:r>
        <w:rPr>
          <w:highlight w:val="none"/>
        </w:rPr>
        <w:drawing>
          <wp:inline distT="0" distB="0" distL="114300" distR="114300">
            <wp:extent cx="5269230" cy="2787650"/>
            <wp:effectExtent l="0" t="0" r="7620" b="1270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7"/>
                    <a:stretch>
                      <a:fillRect/>
                    </a:stretch>
                  </pic:blipFill>
                  <pic:spPr>
                    <a:xfrm>
                      <a:off x="0" y="0"/>
                      <a:ext cx="5269230" cy="2787650"/>
                    </a:xfrm>
                    <a:prstGeom prst="rect">
                      <a:avLst/>
                    </a:prstGeom>
                    <a:noFill/>
                    <a:ln>
                      <a:noFill/>
                    </a:ln>
                  </pic:spPr>
                </pic:pic>
              </a:graphicData>
            </a:graphic>
          </wp:inline>
        </w:drawing>
      </w:r>
    </w:p>
    <w:p>
      <w:pPr>
        <w:autoSpaceDE w:val="0"/>
        <w:autoSpaceDN w:val="0"/>
        <w:adjustRightInd w:val="0"/>
        <w:spacing w:line="360" w:lineRule="auto"/>
        <w:jc w:val="left"/>
        <w:rPr>
          <w:rFonts w:ascii="宋体" w:hAnsi="宋体" w:cs="宋体"/>
          <w:b/>
          <w:sz w:val="28"/>
          <w:szCs w:val="28"/>
          <w:highlight w:val="none"/>
        </w:rPr>
      </w:pPr>
      <w:r>
        <w:rPr>
          <w:rFonts w:hint="eastAsia" w:ascii="宋体" w:hAnsi="宋体" w:cs="宋体"/>
          <w:b/>
          <w:sz w:val="28"/>
          <w:szCs w:val="28"/>
          <w:highlight w:val="none"/>
          <w:lang w:val="en-US" w:eastAsia="zh-CN"/>
        </w:rPr>
        <w:t>（二）</w:t>
      </w:r>
      <w:r>
        <w:rPr>
          <w:rFonts w:hint="eastAsia" w:ascii="宋体" w:hAnsi="宋体" w:cs="宋体"/>
          <w:b/>
          <w:sz w:val="28"/>
          <w:szCs w:val="28"/>
          <w:highlight w:val="none"/>
        </w:rPr>
        <w:t>安全储存设备硬件和</w:t>
      </w:r>
      <w:r>
        <w:rPr>
          <w:rFonts w:ascii="宋体" w:hAnsi="宋体" w:cs="宋体"/>
          <w:b/>
          <w:sz w:val="28"/>
          <w:szCs w:val="28"/>
          <w:highlight w:val="none"/>
        </w:rPr>
        <w:t>危化品管理</w:t>
      </w:r>
      <w:r>
        <w:rPr>
          <w:rFonts w:hint="eastAsia" w:ascii="宋体" w:hAnsi="宋体" w:cs="宋体"/>
          <w:b/>
          <w:sz w:val="28"/>
          <w:szCs w:val="28"/>
          <w:highlight w:val="none"/>
        </w:rPr>
        <w:t>软件购置</w:t>
      </w:r>
    </w:p>
    <w:p>
      <w:pPr>
        <w:autoSpaceDE w:val="0"/>
        <w:autoSpaceDN w:val="0"/>
        <w:adjustRightInd w:val="0"/>
        <w:spacing w:line="360" w:lineRule="auto"/>
        <w:jc w:val="left"/>
        <w:rPr>
          <w:rFonts w:ascii="宋体" w:hAnsi="宋体" w:cs="宋体"/>
          <w:bCs/>
          <w:sz w:val="24"/>
          <w:highlight w:val="none"/>
        </w:rPr>
      </w:pPr>
      <w:r>
        <w:rPr>
          <w:rFonts w:hint="eastAsia" w:ascii="宋体" w:hAnsi="宋体" w:cs="宋体"/>
          <w:bCs/>
          <w:sz w:val="24"/>
          <w:highlight w:val="none"/>
          <w:lang w:val="en-US" w:eastAsia="zh-CN"/>
        </w:rPr>
        <w:t>1.</w:t>
      </w:r>
      <w:r>
        <w:rPr>
          <w:rFonts w:hint="eastAsia" w:ascii="宋体" w:hAnsi="宋体" w:cs="宋体"/>
          <w:bCs/>
          <w:sz w:val="24"/>
          <w:highlight w:val="none"/>
        </w:rPr>
        <w:t>存储要求：管控类化学品：易制爆易制毒应按管控要求存放在安全柜内，如硫酸、盐酸易制毒危化品应存放在双锁的危化品柜内。互忌类化学品：需分区分类存放，酸和碱、氧化和还原分开存放。</w:t>
      </w:r>
    </w:p>
    <w:p>
      <w:pPr>
        <w:autoSpaceDE w:val="0"/>
        <w:autoSpaceDN w:val="0"/>
        <w:adjustRightInd w:val="0"/>
        <w:spacing w:line="360" w:lineRule="auto"/>
        <w:jc w:val="left"/>
        <w:rPr>
          <w:highlight w:val="none"/>
        </w:rPr>
      </w:pPr>
      <w:r>
        <w:rPr>
          <w:rFonts w:hint="eastAsia" w:ascii="宋体" w:hAnsi="宋体" w:cs="宋体"/>
          <w:bCs/>
          <w:sz w:val="24"/>
          <w:highlight w:val="none"/>
          <w:lang w:val="en-US" w:eastAsia="zh-CN"/>
        </w:rPr>
        <w:t>2.</w:t>
      </w:r>
      <w:r>
        <w:rPr>
          <w:rFonts w:ascii="宋体" w:hAnsi="宋体" w:cs="宋体"/>
          <w:bCs/>
          <w:sz w:val="24"/>
          <w:highlight w:val="none"/>
        </w:rPr>
        <w:t>危化品管理</w:t>
      </w:r>
      <w:r>
        <w:rPr>
          <w:rFonts w:hint="eastAsia" w:ascii="宋体" w:hAnsi="宋体" w:cs="宋体"/>
          <w:bCs/>
          <w:sz w:val="24"/>
          <w:highlight w:val="none"/>
        </w:rPr>
        <w:t>软件功能要求：通过建立开放的信息化平台，使用网络和物联网技术将软件管理平台和库房、实验室储存设备相结合，进行有效的数据交换与联动，集成电子标签管理、储存分配、身份识别、门锁联动、精密称重、异常报警、环境监测、视频监控，实现入库、出库、使用、产废等业务环节的全流程管理。并结合智能管控柜，为用户危险化学品提供全流程的智能管控及安全储存保障。</w:t>
      </w:r>
    </w:p>
    <w:p>
      <w:pPr>
        <w:pStyle w:val="2"/>
        <w:spacing w:line="360" w:lineRule="auto"/>
        <w:rPr>
          <w:highlight w:val="none"/>
        </w:rPr>
      </w:pPr>
      <w:r>
        <w:rPr>
          <w:highlight w:val="none"/>
        </w:rPr>
        <w:drawing>
          <wp:inline distT="0" distB="0" distL="114300" distR="114300">
            <wp:extent cx="4009390" cy="2205990"/>
            <wp:effectExtent l="0" t="0" r="1016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009390" cy="22059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rPr>
        <w:t>主要功能：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1</w:t>
      </w:r>
      <w:r>
        <w:rPr>
          <w:rFonts w:hint="eastAsia"/>
          <w:sz w:val="24"/>
          <w:highlight w:val="none"/>
          <w:lang w:eastAsia="zh-CN"/>
        </w:rPr>
        <w:t>）</w:t>
      </w:r>
      <w:r>
        <w:rPr>
          <w:rFonts w:hint="eastAsia"/>
          <w:sz w:val="24"/>
          <w:highlight w:val="none"/>
        </w:rPr>
        <w:t>基础信息管理：实验室管理、储存柜管理、人员管理、化学品管理。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2</w:t>
      </w:r>
      <w:r>
        <w:rPr>
          <w:rFonts w:hint="eastAsia"/>
          <w:sz w:val="24"/>
          <w:highlight w:val="none"/>
          <w:lang w:eastAsia="zh-CN"/>
        </w:rPr>
        <w:t>）</w:t>
      </w:r>
      <w:r>
        <w:rPr>
          <w:rFonts w:hint="eastAsia"/>
          <w:sz w:val="24"/>
          <w:highlight w:val="none"/>
        </w:rPr>
        <w:t>实验室管理：主要完成实验室信息的新增、查询和维护功能。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3</w:t>
      </w:r>
      <w:r>
        <w:rPr>
          <w:rFonts w:hint="eastAsia"/>
          <w:sz w:val="24"/>
          <w:highlight w:val="none"/>
          <w:lang w:eastAsia="zh-CN"/>
        </w:rPr>
        <w:t>）</w:t>
      </w:r>
      <w:r>
        <w:rPr>
          <w:rFonts w:hint="eastAsia"/>
          <w:sz w:val="24"/>
          <w:highlight w:val="none"/>
        </w:rPr>
        <w:t>储存柜管理：主要完成对存储柜信息的查询和维护功能。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4</w:t>
      </w:r>
      <w:r>
        <w:rPr>
          <w:rFonts w:hint="eastAsia"/>
          <w:sz w:val="24"/>
          <w:highlight w:val="none"/>
          <w:lang w:eastAsia="zh-CN"/>
        </w:rPr>
        <w:t>）</w:t>
      </w:r>
      <w:r>
        <w:rPr>
          <w:rFonts w:hint="eastAsia"/>
          <w:sz w:val="24"/>
          <w:highlight w:val="none"/>
        </w:rPr>
        <w:t>人员管理：主要完成实验室管理员、操作员账号信息的新增、查询和维护功能。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5</w:t>
      </w:r>
      <w:r>
        <w:rPr>
          <w:rFonts w:hint="eastAsia"/>
          <w:sz w:val="24"/>
          <w:highlight w:val="none"/>
          <w:lang w:eastAsia="zh-CN"/>
        </w:rPr>
        <w:t>）</w:t>
      </w:r>
      <w:r>
        <w:rPr>
          <w:rFonts w:hint="eastAsia"/>
          <w:sz w:val="24"/>
          <w:highlight w:val="none"/>
        </w:rPr>
        <w:t>化学品管理：提供不少于2000种化学品基础数据库，支持用户对化学品信息进行新增、查询和维护。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6</w:t>
      </w:r>
      <w:r>
        <w:rPr>
          <w:rFonts w:hint="eastAsia"/>
          <w:sz w:val="24"/>
          <w:highlight w:val="none"/>
          <w:lang w:eastAsia="zh-CN"/>
        </w:rPr>
        <w:t>）</w:t>
      </w:r>
      <w:r>
        <w:rPr>
          <w:rFonts w:hint="eastAsia"/>
          <w:sz w:val="24"/>
          <w:highlight w:val="none"/>
        </w:rPr>
        <w:t>化学品存储管理：针对普通试剂柜或其他安全柜内的危化品同步更新存储柜及化学品库存数据，支持按化学品名、实验室、CAS号、容器编号对化学品的库存进行查询，支持化学品总库存量的导出。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①</w:t>
      </w:r>
      <w:r>
        <w:rPr>
          <w:rFonts w:hint="eastAsia"/>
          <w:sz w:val="24"/>
          <w:highlight w:val="none"/>
        </w:rPr>
        <w:t>台账信息：实验室初次入柜记录、实验室回库明细、实验室作废明细、操作明细、实验室出库明细。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②</w:t>
      </w:r>
      <w:r>
        <w:rPr>
          <w:rFonts w:hint="eastAsia"/>
          <w:sz w:val="24"/>
          <w:highlight w:val="none"/>
        </w:rPr>
        <w:t>实验室初次入库记录：记录实验室中各个存储柜初次入库的化学品信息，包含入柜单号、cas号、化学品名、化学品分类、初次入柜数量、单位、重量、操作人、操作时间等，支持初次入柜数据导出，入库后5S内完成试剂盘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③</w:t>
      </w:r>
      <w:r>
        <w:rPr>
          <w:rFonts w:hint="eastAsia"/>
          <w:sz w:val="24"/>
          <w:highlight w:val="none"/>
        </w:rPr>
        <w:t>实验室回库明细：记录化学品历次入库信息，包含容器编号、化学品名、CAS号、供应商、重量、规格、单位、管控级别、人脸识别照片、操作员、所属设备、操作时间等，支持化学品回库数据导出。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④</w:t>
      </w:r>
      <w:r>
        <w:rPr>
          <w:rFonts w:hint="eastAsia"/>
          <w:sz w:val="24"/>
          <w:highlight w:val="none"/>
        </w:rPr>
        <w:t>作废明细：记录化学品作废信息，包含容器编号、化学品名、CAS号、供应商、重量、瓶重、规格、单位、管控级别、人脸识别照片、操作员、所属设备、操作时间等，支持化学品作废数据导出。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⑤</w:t>
      </w:r>
      <w:r>
        <w:rPr>
          <w:rFonts w:hint="eastAsia"/>
          <w:sz w:val="24"/>
          <w:highlight w:val="none"/>
        </w:rPr>
        <w:t>操作明细：记录用户操作记录，包含操作人、操作项目、设备名称、操作时间。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val="en-US" w:eastAsia="zh-CN"/>
        </w:rPr>
        <w:t>⑥</w:t>
      </w:r>
      <w:r>
        <w:rPr>
          <w:rFonts w:hint="eastAsia"/>
          <w:sz w:val="24"/>
          <w:highlight w:val="none"/>
        </w:rPr>
        <w:t>实验室出库明细：</w:t>
      </w:r>
      <w:bookmarkStart w:id="10" w:name="_Hlk128584599"/>
      <w:r>
        <w:rPr>
          <w:rFonts w:hint="eastAsia"/>
          <w:sz w:val="24"/>
          <w:highlight w:val="none"/>
        </w:rPr>
        <w:t>详细记录化学品出库信息，包含容器编号、化学品名、CAS号、供应商、重量、规格、单位、管控级别、人脸识别照片、操作员、所属设备、操作时间等，支持化学品出库数据导出。</w:t>
      </w:r>
      <w:bookmarkEnd w:id="10"/>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7</w:t>
      </w:r>
      <w:r>
        <w:rPr>
          <w:rFonts w:hint="eastAsia"/>
          <w:sz w:val="24"/>
          <w:highlight w:val="none"/>
          <w:lang w:eastAsia="zh-CN"/>
        </w:rPr>
        <w:t>）</w:t>
      </w:r>
      <w:r>
        <w:rPr>
          <w:rFonts w:hint="eastAsia"/>
          <w:sz w:val="24"/>
          <w:highlight w:val="none"/>
        </w:rPr>
        <w:t>环境安全管理：告警配置、告警记录。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8</w:t>
      </w:r>
      <w:r>
        <w:rPr>
          <w:rFonts w:hint="eastAsia"/>
          <w:sz w:val="24"/>
          <w:highlight w:val="none"/>
          <w:lang w:eastAsia="zh-CN"/>
        </w:rPr>
        <w:t>）</w:t>
      </w:r>
      <w:r>
        <w:rPr>
          <w:rFonts w:hint="eastAsia"/>
          <w:sz w:val="24"/>
          <w:highlight w:val="none"/>
        </w:rPr>
        <w:t>告警配置：主要完成存储柜温度、湿度、VOC报警、柜门超时未关闭、超时未归还等上限数据配置工作。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sz w:val="24"/>
          <w:highlight w:val="none"/>
        </w:rPr>
      </w:pPr>
      <w:r>
        <w:rPr>
          <w:rFonts w:hint="eastAsia"/>
          <w:sz w:val="24"/>
          <w:highlight w:val="none"/>
          <w:lang w:eastAsia="zh-CN"/>
        </w:rPr>
        <w:t>（</w:t>
      </w:r>
      <w:r>
        <w:rPr>
          <w:rFonts w:hint="eastAsia"/>
          <w:sz w:val="24"/>
          <w:highlight w:val="none"/>
          <w:lang w:val="en-US" w:eastAsia="zh-CN"/>
        </w:rPr>
        <w:t>9</w:t>
      </w:r>
      <w:r>
        <w:rPr>
          <w:rFonts w:hint="eastAsia"/>
          <w:sz w:val="24"/>
          <w:highlight w:val="none"/>
          <w:lang w:eastAsia="zh-CN"/>
        </w:rPr>
        <w:t>）</w:t>
      </w:r>
      <w:r>
        <w:rPr>
          <w:rFonts w:hint="eastAsia"/>
          <w:sz w:val="24"/>
          <w:highlight w:val="none"/>
        </w:rPr>
        <w:t>告警记录：存储柜环境达到报警上限时，生成告警记录，包含告警类型、告警事件、所</w:t>
      </w:r>
      <w:r>
        <w:rPr>
          <w:rFonts w:hint="eastAsia" w:ascii="Times New Roman" w:hAnsi="Times New Roman"/>
          <w:sz w:val="24"/>
          <w:highlight w:val="none"/>
        </w:rPr>
        <w:t>属设备、告警状态、告警时间等信息。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highlight w:val="none"/>
        </w:rPr>
      </w:pPr>
      <w:r>
        <w:rPr>
          <w:highlight w:val="none"/>
        </w:rPr>
        <w:drawing>
          <wp:inline distT="0" distB="0" distL="114300" distR="114300">
            <wp:extent cx="3498215" cy="1964690"/>
            <wp:effectExtent l="0" t="0" r="6985" b="165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3498215" cy="1964690"/>
                    </a:xfrm>
                    <a:prstGeom prst="rect">
                      <a:avLst/>
                    </a:prstGeom>
                    <a:noFill/>
                    <a:ln>
                      <a:noFill/>
                    </a:ln>
                  </pic:spPr>
                </pic:pic>
              </a:graphicData>
            </a:graphic>
          </wp:inline>
        </w:drawing>
      </w:r>
    </w:p>
    <w:p>
      <w:pPr>
        <w:pStyle w:val="2"/>
        <w:spacing w:line="360" w:lineRule="auto"/>
        <w:ind w:firstLine="480" w:firstLineChars="200"/>
        <w:rPr>
          <w:highlight w:val="none"/>
        </w:rPr>
      </w:pPr>
      <w:r>
        <w:rPr>
          <w:rFonts w:hint="eastAsia" w:ascii="宋体" w:hAnsi="宋体" w:cs="宋体"/>
          <w:bCs/>
          <w:sz w:val="24"/>
          <w:highlight w:val="none"/>
          <w:u w:val="single"/>
        </w:rPr>
        <w:t>其中：二级</w:t>
      </w:r>
      <w:r>
        <w:rPr>
          <w:rFonts w:ascii="宋体" w:hAnsi="宋体" w:cs="宋体"/>
          <w:bCs/>
          <w:sz w:val="24"/>
          <w:highlight w:val="none"/>
          <w:u w:val="single"/>
        </w:rPr>
        <w:t>学院设置一体式流程管控柜，通过危化品管理系统建立开放的信息化平台，使用网络和物联网技术将软件管理平台和库房、二级学院实验室的储存设备相结合，进行有效的数据交换与联动，集成电子标签管理、储存分配、身份识别、门锁联动、精密称重、异常报警、环境监测、视频监控，实现入库、出库、使用、产废等业务环节的全流程管理。并结合智能管控柜，为用户危险化学品提供全流程的智能管控及安全储存保障。建立一套从试剂购买、入库、领用、储存、归还、使用及报废的全生命周期管理系统，对试剂的全生命周期进行管控和追踪，确保整个数据链条的完整性，实现使用智能化、储存安全化、业务标准化。</w:t>
      </w:r>
    </w:p>
    <w:p>
      <w:pPr>
        <w:autoSpaceDE w:val="0"/>
        <w:autoSpaceDN w:val="0"/>
        <w:adjustRightInd w:val="0"/>
        <w:spacing w:line="360" w:lineRule="auto"/>
        <w:jc w:val="left"/>
        <w:rPr>
          <w:rFonts w:ascii="宋体" w:hAnsi="宋体" w:cs="宋体"/>
          <w:b/>
          <w:sz w:val="28"/>
          <w:szCs w:val="28"/>
          <w:highlight w:val="none"/>
        </w:rPr>
      </w:pPr>
      <w:r>
        <w:rPr>
          <w:rFonts w:hint="eastAsia" w:ascii="宋体" w:hAnsi="宋体" w:cs="宋体"/>
          <w:b/>
          <w:sz w:val="28"/>
          <w:szCs w:val="28"/>
          <w:highlight w:val="none"/>
          <w:lang w:eastAsia="zh-CN"/>
        </w:rPr>
        <w:t>（</w:t>
      </w:r>
      <w:r>
        <w:rPr>
          <w:rFonts w:hint="eastAsia" w:ascii="宋体" w:hAnsi="宋体" w:cs="宋体"/>
          <w:b/>
          <w:sz w:val="28"/>
          <w:szCs w:val="28"/>
          <w:highlight w:val="none"/>
          <w:lang w:val="en-US" w:eastAsia="zh-CN"/>
        </w:rPr>
        <w:t>三</w:t>
      </w:r>
      <w:r>
        <w:rPr>
          <w:rFonts w:hint="eastAsia" w:ascii="宋体" w:hAnsi="宋体" w:cs="宋体"/>
          <w:b/>
          <w:sz w:val="28"/>
          <w:szCs w:val="28"/>
          <w:highlight w:val="none"/>
          <w:lang w:eastAsia="zh-CN"/>
        </w:rPr>
        <w:t>）</w:t>
      </w:r>
      <w:r>
        <w:rPr>
          <w:rFonts w:hint="eastAsia" w:ascii="宋体" w:hAnsi="宋体" w:cs="宋体"/>
          <w:b/>
          <w:sz w:val="28"/>
          <w:szCs w:val="28"/>
          <w:highlight w:val="none"/>
        </w:rPr>
        <w:t>通排风系统建设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lang w:val="en-US" w:eastAsia="zh-CN"/>
        </w:rPr>
        <w:t>1.</w:t>
      </w:r>
      <w:r>
        <w:rPr>
          <w:rFonts w:hint="eastAsia" w:ascii="宋体" w:hAnsi="宋体" w:cs="宋体"/>
          <w:bCs/>
          <w:sz w:val="24"/>
          <w:highlight w:val="none"/>
        </w:rPr>
        <w:t>排风系统：常规采用排风扇通风效果差，建议采用VOC的挥发检测联动排风。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b/>
          <w:bCs/>
          <w:highlight w:val="none"/>
        </w:rPr>
      </w:pPr>
      <w:r>
        <w:rPr>
          <w:rFonts w:hint="eastAsia" w:ascii="宋体" w:hAnsi="宋体" w:cs="宋体"/>
          <w:bCs/>
          <w:sz w:val="24"/>
          <w:highlight w:val="none"/>
          <w:lang w:val="en-US" w:eastAsia="zh-CN"/>
        </w:rPr>
        <w:t>2.</w:t>
      </w:r>
      <w:r>
        <w:rPr>
          <w:rFonts w:hint="eastAsia" w:ascii="宋体" w:hAnsi="宋体" w:cs="宋体"/>
          <w:bCs/>
          <w:sz w:val="24"/>
          <w:highlight w:val="none"/>
        </w:rPr>
        <w:t>净化系统：按环保要求，废气排放需经净化处理后达到大气排放要求才能排放，特设置二台防爆离心风机，一台负责室内环境排风净化，一台负责存储单元排风净化，确保达保排放</w:t>
      </w:r>
      <w:r>
        <w:rPr>
          <w:rFonts w:hint="eastAsia" w:ascii="宋体" w:hAnsi="宋体" w:cs="宋体"/>
          <w:bCs/>
          <w:sz w:val="24"/>
          <w:highlight w:val="none"/>
          <w:lang w:eastAsia="zh-CN"/>
        </w:rPr>
        <w:t>，</w:t>
      </w:r>
      <w:r>
        <w:rPr>
          <w:rFonts w:hint="eastAsia" w:ascii="宋体" w:hAnsi="宋体" w:cs="宋体"/>
          <w:bCs/>
          <w:sz w:val="24"/>
          <w:highlight w:val="none"/>
        </w:rPr>
        <w:t>并可通过环境监测系统联动排风，智能控制。</w:t>
      </w:r>
    </w:p>
    <w:p>
      <w:pPr>
        <w:autoSpaceDE w:val="0"/>
        <w:autoSpaceDN w:val="0"/>
        <w:adjustRightInd w:val="0"/>
        <w:spacing w:line="360" w:lineRule="auto"/>
        <w:jc w:val="left"/>
        <w:rPr>
          <w:rFonts w:ascii="宋体" w:hAnsi="宋体" w:cs="宋体"/>
          <w:b/>
          <w:bCs/>
          <w:sz w:val="28"/>
          <w:szCs w:val="28"/>
          <w:highlight w:val="none"/>
        </w:rPr>
      </w:pPr>
      <w:r>
        <w:rPr>
          <w:rFonts w:hint="eastAsia" w:ascii="宋体" w:hAnsi="宋体" w:cs="宋体"/>
          <w:b/>
          <w:bCs/>
          <w:sz w:val="28"/>
          <w:szCs w:val="28"/>
          <w:highlight w:val="none"/>
          <w:lang w:eastAsia="zh-CN"/>
        </w:rPr>
        <w:t>（</w:t>
      </w:r>
      <w:r>
        <w:rPr>
          <w:rFonts w:hint="eastAsia" w:ascii="宋体" w:hAnsi="宋体" w:cs="宋体"/>
          <w:b/>
          <w:bCs/>
          <w:sz w:val="28"/>
          <w:szCs w:val="28"/>
          <w:highlight w:val="none"/>
          <w:lang w:val="en-US" w:eastAsia="zh-CN"/>
        </w:rPr>
        <w:t>四</w:t>
      </w:r>
      <w:r>
        <w:rPr>
          <w:rFonts w:hint="eastAsia" w:ascii="宋体" w:hAnsi="宋体" w:cs="宋体"/>
          <w:b/>
          <w:bCs/>
          <w:sz w:val="28"/>
          <w:szCs w:val="28"/>
          <w:highlight w:val="none"/>
          <w:lang w:eastAsia="zh-CN"/>
        </w:rPr>
        <w:t>）</w:t>
      </w:r>
      <w:r>
        <w:rPr>
          <w:rFonts w:hint="eastAsia" w:ascii="宋体" w:hAnsi="宋体" w:cs="宋体"/>
          <w:b/>
          <w:bCs/>
          <w:sz w:val="28"/>
          <w:szCs w:val="28"/>
          <w:highlight w:val="none"/>
        </w:rPr>
        <w:t>防爆及防静电设施改造</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highlight w:val="none"/>
        </w:rPr>
      </w:pPr>
      <w:r>
        <w:rPr>
          <w:rFonts w:hint="eastAsia" w:ascii="宋体" w:hAnsi="宋体" w:cs="宋体"/>
          <w:bCs/>
          <w:sz w:val="24"/>
          <w:highlight w:val="none"/>
          <w:lang w:val="en-US" w:eastAsia="zh-CN"/>
        </w:rPr>
        <w:t>1.</w:t>
      </w:r>
      <w:r>
        <w:rPr>
          <w:rFonts w:hint="eastAsia" w:ascii="宋体" w:hAnsi="宋体" w:cs="宋体"/>
          <w:bCs/>
          <w:sz w:val="24"/>
          <w:highlight w:val="none"/>
        </w:rPr>
        <w:t>防爆系统：按要求装配防爆开关、防爆灯和必要的气体报警系统、监控系统、应急系统等；对于产生可燃气体或蒸汽的装置，在其进、出口处安装阻火器；室内应加强通风，防止爆炸物聚积。</w:t>
      </w:r>
    </w:p>
    <w:p>
      <w:pPr>
        <w:pStyle w:val="2"/>
        <w:keepNext w:val="0"/>
        <w:keepLines w:val="0"/>
        <w:pageBreakBefore w:val="0"/>
        <w:widowControl w:val="0"/>
        <w:kinsoku/>
        <w:wordWrap/>
        <w:overflowPunct/>
        <w:topLinePunct w:val="0"/>
        <w:bidi w:val="0"/>
        <w:snapToGrid/>
        <w:spacing w:line="360" w:lineRule="auto"/>
        <w:ind w:firstLine="420" w:firstLineChars="200"/>
        <w:textAlignment w:val="auto"/>
        <w:rPr>
          <w:highlight w:val="none"/>
        </w:rPr>
      </w:pPr>
      <w:r>
        <w:rPr>
          <w:highlight w:val="none"/>
        </w:rPr>
        <w:drawing>
          <wp:inline distT="0" distB="0" distL="114300" distR="114300">
            <wp:extent cx="3740150" cy="2648585"/>
            <wp:effectExtent l="0" t="0" r="12700" b="184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0"/>
                    <a:stretch>
                      <a:fillRect/>
                    </a:stretch>
                  </pic:blipFill>
                  <pic:spPr>
                    <a:xfrm>
                      <a:off x="0" y="0"/>
                      <a:ext cx="3740150" cy="2648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highlight w:val="none"/>
        </w:rPr>
      </w:pPr>
      <w:r>
        <w:rPr>
          <w:rFonts w:hint="eastAsia" w:ascii="宋体" w:hAnsi="宋体" w:cs="宋体"/>
          <w:bCs/>
          <w:sz w:val="24"/>
          <w:highlight w:val="none"/>
          <w:lang w:val="en-US" w:eastAsia="zh-CN"/>
        </w:rPr>
        <w:t>2.</w:t>
      </w:r>
      <w:r>
        <w:rPr>
          <w:rFonts w:hint="eastAsia" w:ascii="宋体" w:hAnsi="宋体" w:cs="宋体"/>
          <w:bCs/>
          <w:sz w:val="24"/>
          <w:highlight w:val="none"/>
        </w:rPr>
        <w:t>防静电设施：化品安全柜、货架加装防静电设备，按GB50057标准，采用40*4镀锌扁钢接地，有效避免人体静电引燃危化品试剂。</w:t>
      </w:r>
    </w:p>
    <w:p>
      <w:pPr>
        <w:autoSpaceDE w:val="0"/>
        <w:autoSpaceDN w:val="0"/>
        <w:adjustRightInd w:val="0"/>
        <w:spacing w:line="360" w:lineRule="auto"/>
        <w:jc w:val="left"/>
        <w:rPr>
          <w:rFonts w:ascii="宋体" w:hAnsi="宋体" w:cs="宋体"/>
          <w:b/>
          <w:sz w:val="28"/>
          <w:szCs w:val="28"/>
          <w:highlight w:val="none"/>
        </w:rPr>
      </w:pPr>
      <w:r>
        <w:rPr>
          <w:rFonts w:hint="eastAsia" w:ascii="宋体" w:hAnsi="宋体" w:cs="宋体"/>
          <w:b/>
          <w:sz w:val="28"/>
          <w:szCs w:val="28"/>
          <w:highlight w:val="none"/>
          <w:lang w:eastAsia="zh-CN"/>
        </w:rPr>
        <w:t>（</w:t>
      </w:r>
      <w:r>
        <w:rPr>
          <w:rFonts w:hint="eastAsia" w:ascii="宋体" w:hAnsi="宋体" w:cs="宋体"/>
          <w:b/>
          <w:sz w:val="28"/>
          <w:szCs w:val="28"/>
          <w:highlight w:val="none"/>
          <w:lang w:val="en-US" w:eastAsia="zh-CN"/>
        </w:rPr>
        <w:t>五</w:t>
      </w:r>
      <w:r>
        <w:rPr>
          <w:rFonts w:hint="eastAsia" w:ascii="宋体" w:hAnsi="宋体" w:cs="宋体"/>
          <w:b/>
          <w:sz w:val="28"/>
          <w:szCs w:val="28"/>
          <w:highlight w:val="none"/>
          <w:lang w:eastAsia="zh-CN"/>
        </w:rPr>
        <w:t>）</w:t>
      </w:r>
      <w:r>
        <w:rPr>
          <w:rFonts w:hint="eastAsia" w:ascii="宋体" w:hAnsi="宋体" w:cs="宋体"/>
          <w:b/>
          <w:sz w:val="28"/>
          <w:szCs w:val="28"/>
          <w:highlight w:val="none"/>
        </w:rPr>
        <w:t>应急系统建设</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lang w:val="en-US" w:eastAsia="zh-CN"/>
        </w:rPr>
        <w:t>1.</w:t>
      </w:r>
      <w:r>
        <w:rPr>
          <w:rFonts w:hint="eastAsia" w:ascii="宋体" w:hAnsi="宋体" w:cs="宋体"/>
          <w:bCs/>
          <w:sz w:val="24"/>
          <w:highlight w:val="none"/>
        </w:rPr>
        <w:t>消防设施：试剂中转库加装应急灯及灭火器等消防设备，大大降低风险。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lang w:val="en-US" w:eastAsia="zh-CN"/>
        </w:rPr>
        <w:t>2.</w:t>
      </w:r>
      <w:r>
        <w:rPr>
          <w:rFonts w:hint="eastAsia" w:ascii="宋体" w:hAnsi="宋体" w:cs="宋体"/>
          <w:bCs/>
          <w:sz w:val="24"/>
          <w:highlight w:val="none"/>
        </w:rPr>
        <w:t>个人防护：配备个人防护用品、应急喷淋及急救药箱，大大降低事故发生后带来的伤害。</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highlight w:val="none"/>
        </w:rPr>
      </w:pPr>
      <w:r>
        <w:rPr>
          <w:rFonts w:hint="eastAsia" w:ascii="宋体" w:hAnsi="宋体" w:cs="宋体"/>
          <w:bCs/>
          <w:sz w:val="24"/>
          <w:highlight w:val="none"/>
          <w:lang w:val="en-US" w:eastAsia="zh-CN"/>
        </w:rPr>
        <w:t>3.</w:t>
      </w:r>
      <w:r>
        <w:rPr>
          <w:rFonts w:hint="eastAsia" w:ascii="宋体" w:hAnsi="宋体" w:cs="宋体"/>
          <w:bCs/>
          <w:sz w:val="24"/>
          <w:highlight w:val="none"/>
        </w:rPr>
        <w:t>化学品泄漏处置：中转库配置相应的化学品泄漏处理设施，如中和剂、吸附棉、防渗漏托盘，防化袋及防护设施等，有效减小伤亡和财产损失。</w:t>
      </w:r>
    </w:p>
    <w:p>
      <w:pPr>
        <w:autoSpaceDE w:val="0"/>
        <w:autoSpaceDN w:val="0"/>
        <w:adjustRightInd w:val="0"/>
        <w:spacing w:line="360" w:lineRule="auto"/>
        <w:jc w:val="left"/>
        <w:rPr>
          <w:highlight w:val="none"/>
        </w:rPr>
      </w:pPr>
      <w:r>
        <w:rPr>
          <w:highlight w:val="none"/>
        </w:rPr>
        <w:drawing>
          <wp:inline distT="0" distB="0" distL="114300" distR="114300">
            <wp:extent cx="3865880" cy="2480945"/>
            <wp:effectExtent l="0" t="0" r="1270" b="1460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1"/>
                    <a:stretch>
                      <a:fillRect/>
                    </a:stretch>
                  </pic:blipFill>
                  <pic:spPr>
                    <a:xfrm>
                      <a:off x="0" y="0"/>
                      <a:ext cx="3865880" cy="2480945"/>
                    </a:xfrm>
                    <a:prstGeom prst="rect">
                      <a:avLst/>
                    </a:prstGeom>
                    <a:noFill/>
                    <a:ln>
                      <a:noFill/>
                    </a:ln>
                  </pic:spPr>
                </pic:pic>
              </a:graphicData>
            </a:graphic>
          </wp:inline>
        </w:drawing>
      </w:r>
    </w:p>
    <w:p>
      <w:pPr>
        <w:autoSpaceDE w:val="0"/>
        <w:autoSpaceDN w:val="0"/>
        <w:adjustRightInd w:val="0"/>
        <w:spacing w:line="360" w:lineRule="auto"/>
        <w:jc w:val="left"/>
        <w:rPr>
          <w:rFonts w:ascii="宋体" w:hAnsi="宋体" w:cs="宋体"/>
          <w:b/>
          <w:sz w:val="28"/>
          <w:szCs w:val="28"/>
          <w:highlight w:val="none"/>
        </w:rPr>
      </w:pPr>
      <w:r>
        <w:rPr>
          <w:rFonts w:hint="eastAsia" w:ascii="宋体" w:hAnsi="宋体" w:cs="宋体"/>
          <w:b/>
          <w:sz w:val="28"/>
          <w:szCs w:val="28"/>
          <w:highlight w:val="none"/>
          <w:lang w:eastAsia="zh-CN"/>
        </w:rPr>
        <w:t>（</w:t>
      </w:r>
      <w:r>
        <w:rPr>
          <w:rFonts w:hint="eastAsia" w:ascii="宋体" w:hAnsi="宋体" w:cs="宋体"/>
          <w:b/>
          <w:sz w:val="28"/>
          <w:szCs w:val="28"/>
          <w:highlight w:val="none"/>
          <w:lang w:val="en-US" w:eastAsia="zh-CN"/>
        </w:rPr>
        <w:t>六</w:t>
      </w:r>
      <w:r>
        <w:rPr>
          <w:rFonts w:hint="eastAsia" w:ascii="宋体" w:hAnsi="宋体" w:cs="宋体"/>
          <w:b/>
          <w:sz w:val="28"/>
          <w:szCs w:val="28"/>
          <w:highlight w:val="none"/>
          <w:lang w:eastAsia="zh-CN"/>
        </w:rPr>
        <w:t>）</w:t>
      </w:r>
      <w:r>
        <w:rPr>
          <w:rFonts w:hint="eastAsia" w:ascii="宋体" w:hAnsi="宋体" w:cs="宋体"/>
          <w:b/>
          <w:sz w:val="28"/>
          <w:szCs w:val="28"/>
          <w:highlight w:val="none"/>
        </w:rPr>
        <w:t>环境检测及安全标识建设：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lang w:val="en-US" w:eastAsia="zh-CN"/>
        </w:rPr>
        <w:t>1.</w:t>
      </w:r>
      <w:r>
        <w:rPr>
          <w:rFonts w:hint="eastAsia" w:ascii="宋体" w:hAnsi="宋体" w:cs="宋体"/>
          <w:bCs/>
          <w:sz w:val="24"/>
          <w:highlight w:val="none"/>
        </w:rPr>
        <w:t>环境检测：中转库存放有机易燃试剂时，一旦试剂挥发达到一定浓度会引起安全事故，因此需要设有温湿度及VOC检测系统，并与风机联动。采用可编程控制器（PLC）作为控制器，控制箱面板要求配有10英寸以上高清显示屏，要求能显示设备环境参数，风机转速等。可历史查询环境参数，以趋势图和表格形式展现，具备操作人员权限管理，操作日志查询，当前及历史报警查询功能等。可设定系统运行关键参数值，包括定时运行时间间隔，VOC联动高低值，异常VOC值，变频器初始频率，VOC及温湿度等传感器报警值，声光报警器动作设置。能通过手机或PC端查看房间内设备列表，在线状态，设备环境参数，当前报警、历史报警，历史数据，设备地理位置信息，可设置调整设备的关键参数对象，远程操作设备等功能。</w:t>
      </w:r>
    </w:p>
    <w:p>
      <w:pPr>
        <w:pStyle w:val="2"/>
        <w:keepNext w:val="0"/>
        <w:keepLines w:val="0"/>
        <w:pageBreakBefore w:val="0"/>
        <w:widowControl w:val="0"/>
        <w:kinsoku/>
        <w:wordWrap/>
        <w:overflowPunct/>
        <w:topLinePunct w:val="0"/>
        <w:bidi w:val="0"/>
        <w:snapToGrid/>
        <w:spacing w:line="360" w:lineRule="auto"/>
        <w:ind w:firstLine="420" w:firstLineChars="200"/>
        <w:textAlignment w:val="auto"/>
        <w:rPr>
          <w:highlight w:val="none"/>
        </w:rPr>
      </w:pPr>
      <w:r>
        <w:rPr>
          <w:highlight w:val="none"/>
        </w:rPr>
        <w:drawing>
          <wp:inline distT="0" distB="0" distL="114300" distR="114300">
            <wp:extent cx="5238750" cy="3149600"/>
            <wp:effectExtent l="0" t="0" r="635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5238750" cy="3149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lang w:val="en-US" w:eastAsia="zh-CN"/>
        </w:rPr>
        <w:t>2.</w:t>
      </w:r>
      <w:r>
        <w:rPr>
          <w:rFonts w:hint="eastAsia" w:ascii="宋体" w:hAnsi="宋体" w:cs="宋体"/>
          <w:bCs/>
          <w:sz w:val="24"/>
          <w:highlight w:val="none"/>
        </w:rPr>
        <w:t>安全标识：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rPr>
        <w:t>a)在显著位置张贴有紧急逃生疏散路线图，疏散路线图的逃生路线应有二条（含）以上。</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rPr>
        <w:t>b)防护区和非防护区没有明显的分隔标识线。</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rPr>
        <w:t>c)试剂中转库应设有危险源标识。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bCs/>
          <w:sz w:val="24"/>
          <w:highlight w:val="none"/>
        </w:rPr>
      </w:pPr>
      <w:r>
        <w:rPr>
          <w:rFonts w:hint="eastAsia" w:ascii="宋体" w:hAnsi="宋体" w:cs="宋体"/>
          <w:bCs/>
          <w:sz w:val="24"/>
          <w:highlight w:val="none"/>
        </w:rPr>
        <w:t>d)中转库标识需要更加完善，如安全警示标志、安全防护标志等。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highlight w:val="none"/>
        </w:rPr>
      </w:pPr>
      <w:r>
        <w:rPr>
          <w:rFonts w:hint="eastAsia" w:ascii="宋体" w:hAnsi="宋体" w:cs="宋体"/>
          <w:bCs/>
          <w:sz w:val="24"/>
          <w:highlight w:val="none"/>
        </w:rPr>
        <w:t>e)试剂中转库安全管理制度、操作规程、应急方案将优化至上墙展示。</w:t>
      </w:r>
    </w:p>
    <w:p>
      <w:pPr>
        <w:pStyle w:val="2"/>
        <w:spacing w:line="360" w:lineRule="auto"/>
        <w:rPr>
          <w:highlight w:val="none"/>
        </w:rPr>
      </w:pPr>
      <w:r>
        <w:rPr>
          <w:highlight w:val="none"/>
        </w:rPr>
        <w:drawing>
          <wp:inline distT="0" distB="0" distL="114300" distR="114300">
            <wp:extent cx="4787265" cy="3178175"/>
            <wp:effectExtent l="0" t="0" r="13335" b="31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3"/>
                    <a:stretch>
                      <a:fillRect/>
                    </a:stretch>
                  </pic:blipFill>
                  <pic:spPr>
                    <a:xfrm>
                      <a:off x="0" y="0"/>
                      <a:ext cx="4787265" cy="3178175"/>
                    </a:xfrm>
                    <a:prstGeom prst="rect">
                      <a:avLst/>
                    </a:prstGeom>
                    <a:noFill/>
                    <a:ln>
                      <a:noFill/>
                    </a:ln>
                  </pic:spPr>
                </pic:pic>
              </a:graphicData>
            </a:graphic>
          </wp:inline>
        </w:drawing>
      </w:r>
    </w:p>
    <w:p>
      <w:pPr>
        <w:numPr>
          <w:ilvl w:val="0"/>
          <w:numId w:val="0"/>
        </w:numPr>
        <w:rPr>
          <w:rFonts w:hint="eastAsia"/>
          <w:b/>
          <w:bCs/>
          <w:sz w:val="28"/>
          <w:szCs w:val="28"/>
          <w:highlight w:val="none"/>
          <w:lang w:val="en-US" w:eastAsia="zh-CN"/>
        </w:rPr>
      </w:pPr>
      <w:r>
        <w:rPr>
          <w:rFonts w:hint="eastAsia"/>
          <w:b/>
          <w:bCs/>
          <w:sz w:val="28"/>
          <w:szCs w:val="28"/>
          <w:highlight w:val="none"/>
          <w:lang w:val="en-US" w:eastAsia="zh-CN"/>
        </w:rPr>
        <w:t>（七）宣传系统建立：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将学校危化品中转库建设成为学校实验室安全管理窗口，通过配置触控一体机和扩声系统，将危化品存储和台帐情况实时同步高清显示出来，如：品名、种类、数量、厂家、生产日期、寿命、借出、还入、报废等信息，</w:t>
      </w:r>
      <w:r>
        <w:rPr>
          <w:rFonts w:hint="eastAsia" w:ascii="宋体" w:hAnsi="宋体" w:cs="宋体"/>
          <w:bCs/>
          <w:kern w:val="2"/>
          <w:sz w:val="24"/>
          <w:szCs w:val="24"/>
          <w:highlight w:val="none"/>
          <w:lang w:val="en-US" w:eastAsia="zh-CN" w:bidi="ar-SA"/>
        </w:rPr>
        <w:t>和各类环境监测情况，如中转库的温湿度、可燃气体、火焰探测等，</w:t>
      </w:r>
      <w:r>
        <w:rPr>
          <w:rFonts w:hint="eastAsia" w:ascii="宋体" w:hAnsi="宋体" w:eastAsia="宋体" w:cs="宋体"/>
          <w:bCs/>
          <w:kern w:val="2"/>
          <w:sz w:val="24"/>
          <w:szCs w:val="24"/>
          <w:highlight w:val="none"/>
          <w:lang w:val="en-US" w:eastAsia="zh-CN" w:bidi="ar-SA"/>
        </w:rPr>
        <w:t>做到一目了然，</w:t>
      </w:r>
      <w:r>
        <w:rPr>
          <w:rFonts w:hint="eastAsia" w:ascii="宋体" w:hAnsi="宋体" w:cs="宋体"/>
          <w:bCs/>
          <w:kern w:val="2"/>
          <w:sz w:val="24"/>
          <w:szCs w:val="24"/>
          <w:highlight w:val="none"/>
          <w:lang w:val="en-US" w:eastAsia="zh-CN" w:bidi="ar-SA"/>
        </w:rPr>
        <w:t>减少进入库内实地的风险，</w:t>
      </w:r>
      <w:r>
        <w:rPr>
          <w:rFonts w:hint="eastAsia" w:ascii="宋体" w:hAnsi="宋体" w:eastAsia="宋体" w:cs="宋体"/>
          <w:bCs/>
          <w:kern w:val="2"/>
          <w:sz w:val="24"/>
          <w:szCs w:val="24"/>
          <w:highlight w:val="none"/>
          <w:lang w:val="en-US" w:eastAsia="zh-CN" w:bidi="ar-SA"/>
        </w:rPr>
        <w:t>方便各级领导检查。通过扩声系统清晰准确进行中转库的建设和管理情况汇报，提升宣传效果。</w:t>
      </w:r>
    </w:p>
    <w:p>
      <w:pPr>
        <w:rPr>
          <w:rFonts w:hint="default"/>
          <w:highlight w:val="none"/>
          <w:lang w:val="en-US" w:eastAsia="zh-CN"/>
        </w:rPr>
      </w:pPr>
    </w:p>
    <w:p>
      <w:pPr>
        <w:pStyle w:val="4"/>
        <w:numPr>
          <w:ilvl w:val="0"/>
          <w:numId w:val="2"/>
        </w:numPr>
        <w:spacing w:line="360" w:lineRule="auto"/>
        <w:rPr>
          <w:b/>
          <w:bCs/>
          <w:szCs w:val="32"/>
          <w:highlight w:val="none"/>
        </w:rPr>
      </w:pPr>
      <w:bookmarkStart w:id="11" w:name="_Toc20994"/>
      <w:r>
        <w:rPr>
          <w:rFonts w:hint="eastAsia"/>
          <w:b/>
          <w:bCs/>
          <w:szCs w:val="32"/>
          <w:highlight w:val="none"/>
        </w:rPr>
        <w:t>项目建设目标及原则</w:t>
      </w:r>
      <w:bookmarkEnd w:id="11"/>
    </w:p>
    <w:p>
      <w:pPr>
        <w:pStyle w:val="5"/>
        <w:numPr>
          <w:ilvl w:val="0"/>
          <w:numId w:val="0"/>
        </w:numPr>
        <w:spacing w:line="360" w:lineRule="auto"/>
        <w:rPr>
          <w:sz w:val="28"/>
          <w:szCs w:val="28"/>
          <w:highlight w:val="none"/>
        </w:rPr>
      </w:pPr>
      <w:bookmarkStart w:id="12" w:name="_Toc24912882"/>
      <w:bookmarkStart w:id="13" w:name="_Toc29416"/>
      <w:bookmarkStart w:id="14" w:name="_Toc49934005"/>
      <w:bookmarkStart w:id="15" w:name="_Toc49941332"/>
      <w:bookmarkStart w:id="16" w:name="_Toc18163"/>
      <w:r>
        <w:rPr>
          <w:rFonts w:hint="eastAsia"/>
          <w:sz w:val="28"/>
          <w:szCs w:val="28"/>
          <w:highlight w:val="none"/>
          <w:lang w:eastAsia="zh-CN"/>
        </w:rPr>
        <w:t>（</w:t>
      </w:r>
      <w:r>
        <w:rPr>
          <w:rFonts w:hint="eastAsia"/>
          <w:sz w:val="28"/>
          <w:szCs w:val="28"/>
          <w:highlight w:val="none"/>
          <w:lang w:val="en-US" w:eastAsia="zh-CN"/>
        </w:rPr>
        <w:t>一</w:t>
      </w:r>
      <w:r>
        <w:rPr>
          <w:rFonts w:hint="eastAsia"/>
          <w:sz w:val="28"/>
          <w:szCs w:val="28"/>
          <w:highlight w:val="none"/>
          <w:lang w:eastAsia="zh-CN"/>
        </w:rPr>
        <w:t>）</w:t>
      </w:r>
      <w:r>
        <w:rPr>
          <w:rFonts w:hint="eastAsia"/>
          <w:sz w:val="28"/>
          <w:szCs w:val="28"/>
          <w:highlight w:val="none"/>
        </w:rPr>
        <w:t>项目建设目标</w:t>
      </w:r>
      <w:bookmarkEnd w:id="12"/>
      <w:bookmarkEnd w:id="13"/>
      <w:bookmarkEnd w:id="14"/>
      <w:bookmarkEnd w:id="15"/>
      <w:bookmarkEnd w:id="16"/>
    </w:p>
    <w:p>
      <w:pPr>
        <w:autoSpaceDE w:val="0"/>
        <w:autoSpaceDN w:val="0"/>
        <w:adjustRightInd w:val="0"/>
        <w:spacing w:line="360" w:lineRule="auto"/>
        <w:ind w:firstLine="480" w:firstLineChars="200"/>
        <w:jc w:val="left"/>
        <w:rPr>
          <w:rFonts w:hint="eastAsia" w:ascii="宋体" w:hAnsi="宋体" w:cs="宋体"/>
          <w:bCs/>
          <w:sz w:val="24"/>
          <w:highlight w:val="none"/>
          <w:lang w:eastAsia="zh-CN"/>
        </w:rPr>
      </w:pPr>
      <w:r>
        <w:rPr>
          <w:rFonts w:hint="eastAsia" w:ascii="宋体" w:hAnsi="宋体" w:cs="宋体"/>
          <w:bCs/>
          <w:sz w:val="24"/>
          <w:highlight w:val="none"/>
        </w:rPr>
        <w:t>方案总体目标是建设硬件和软件结合的化学品管理平台，实现化学品管理的信息智能化，一体化管理，其具体目标如下</w:t>
      </w:r>
      <w:r>
        <w:rPr>
          <w:rFonts w:hint="eastAsia" w:ascii="宋体" w:hAnsi="宋体" w:cs="宋体"/>
          <w:bCs/>
          <w:sz w:val="24"/>
          <w:highlight w:val="none"/>
          <w:lang w:eastAsia="zh-CN"/>
        </w:rPr>
        <w:t>：</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lang w:val="en-US" w:eastAsia="zh-CN"/>
        </w:rPr>
        <w:t>1.后续</w:t>
      </w:r>
      <w:r>
        <w:rPr>
          <w:rFonts w:hint="eastAsia" w:ascii="宋体" w:hAnsi="宋体" w:cs="宋体"/>
          <w:bCs/>
          <w:sz w:val="24"/>
          <w:highlight w:val="none"/>
        </w:rPr>
        <w:t>对接化学品采购平台、校实验室安全管理系统</w:t>
      </w:r>
      <w:r>
        <w:rPr>
          <w:rFonts w:hint="eastAsia" w:ascii="宋体" w:hAnsi="宋体" w:cs="宋体"/>
          <w:bCs/>
          <w:sz w:val="24"/>
          <w:highlight w:val="none"/>
          <w:lang w:eastAsia="zh-CN"/>
        </w:rPr>
        <w:t>，</w:t>
      </w:r>
      <w:r>
        <w:rPr>
          <w:rFonts w:hint="eastAsia" w:ascii="宋体" w:hAnsi="宋体" w:cs="宋体"/>
          <w:bCs/>
          <w:sz w:val="24"/>
          <w:highlight w:val="none"/>
        </w:rPr>
        <w:t>使管理系统与之数据互联互通</w:t>
      </w:r>
      <w:r>
        <w:rPr>
          <w:rFonts w:hint="eastAsia" w:ascii="宋体" w:hAnsi="宋体" w:cs="宋体"/>
          <w:bCs/>
          <w:sz w:val="24"/>
          <w:highlight w:val="none"/>
          <w:lang w:eastAsia="zh-CN"/>
        </w:rPr>
        <w:t>，</w:t>
      </w:r>
      <w:r>
        <w:rPr>
          <w:rFonts w:hint="eastAsia" w:ascii="宋体" w:hAnsi="宋体" w:cs="宋体"/>
          <w:bCs/>
          <w:sz w:val="24"/>
          <w:highlight w:val="none"/>
        </w:rPr>
        <w:t>同步实验室信息、人员信息、化学品使用信息等，实现化学品全过程智能、动态监管。</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lang w:val="en-US" w:eastAsia="zh-CN"/>
        </w:rPr>
        <w:t>2.</w:t>
      </w:r>
      <w:r>
        <w:rPr>
          <w:rFonts w:hint="eastAsia" w:ascii="宋体" w:hAnsi="宋体" w:cs="宋体"/>
          <w:bCs/>
          <w:sz w:val="24"/>
          <w:highlight w:val="none"/>
        </w:rPr>
        <w:t>建立完整的化学品数据库，包括完整的基本信息，管控等级，配伍禁忌等，支持历史数据导入。达到学校自身及公安、环保等部门对危化品的监管要求，排除不必要的安全隐患。</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lang w:val="en-US" w:eastAsia="zh-CN"/>
        </w:rPr>
        <w:t>3.</w:t>
      </w:r>
      <w:r>
        <w:rPr>
          <w:rFonts w:hint="eastAsia" w:ascii="宋体" w:hAnsi="宋体" w:cs="宋体"/>
          <w:bCs/>
          <w:sz w:val="24"/>
          <w:highlight w:val="none"/>
        </w:rPr>
        <w:t>建立智能化学品库存管理体系，通过智能硬件和软件将化学品的全生命周期进行监控，包括采购</w:t>
      </w:r>
      <w:r>
        <w:rPr>
          <w:rFonts w:hint="eastAsia" w:ascii="宋体" w:hAnsi="宋体" w:cs="宋体"/>
          <w:bCs/>
          <w:sz w:val="24"/>
          <w:highlight w:val="none"/>
          <w:lang w:eastAsia="zh-CN"/>
        </w:rPr>
        <w:t>、</w:t>
      </w:r>
      <w:r>
        <w:rPr>
          <w:rFonts w:hint="eastAsia" w:ascii="宋体" w:hAnsi="宋体" w:cs="宋体"/>
          <w:bCs/>
          <w:sz w:val="24"/>
          <w:highlight w:val="none"/>
        </w:rPr>
        <w:t>入库</w:t>
      </w:r>
      <w:r>
        <w:rPr>
          <w:rFonts w:hint="eastAsia" w:ascii="宋体" w:hAnsi="宋体" w:cs="宋体"/>
          <w:bCs/>
          <w:sz w:val="24"/>
          <w:highlight w:val="none"/>
          <w:lang w:eastAsia="zh-CN"/>
        </w:rPr>
        <w:t>、</w:t>
      </w:r>
      <w:r>
        <w:rPr>
          <w:rFonts w:hint="eastAsia" w:ascii="宋体" w:hAnsi="宋体" w:cs="宋体"/>
          <w:bCs/>
          <w:sz w:val="24"/>
          <w:highlight w:val="none"/>
        </w:rPr>
        <w:t>领用</w:t>
      </w:r>
      <w:r>
        <w:rPr>
          <w:rFonts w:hint="eastAsia" w:ascii="宋体" w:hAnsi="宋体" w:cs="宋体"/>
          <w:bCs/>
          <w:sz w:val="24"/>
          <w:highlight w:val="none"/>
          <w:lang w:eastAsia="zh-CN"/>
        </w:rPr>
        <w:t>、</w:t>
      </w:r>
      <w:r>
        <w:rPr>
          <w:rFonts w:hint="eastAsia" w:ascii="宋体" w:hAnsi="宋体" w:cs="宋体"/>
          <w:bCs/>
          <w:sz w:val="24"/>
          <w:highlight w:val="none"/>
        </w:rPr>
        <w:t>归还</w:t>
      </w:r>
      <w:r>
        <w:rPr>
          <w:rFonts w:hint="eastAsia" w:ascii="宋体" w:hAnsi="宋体" w:cs="宋体"/>
          <w:bCs/>
          <w:sz w:val="24"/>
          <w:highlight w:val="none"/>
          <w:lang w:eastAsia="zh-CN"/>
        </w:rPr>
        <w:t>、</w:t>
      </w:r>
      <w:r>
        <w:rPr>
          <w:rFonts w:hint="eastAsia" w:ascii="宋体" w:hAnsi="宋体" w:cs="宋体"/>
          <w:bCs/>
          <w:sz w:val="24"/>
          <w:highlight w:val="none"/>
        </w:rPr>
        <w:t>废弃</w:t>
      </w:r>
      <w:r>
        <w:rPr>
          <w:rFonts w:hint="eastAsia" w:ascii="宋体" w:hAnsi="宋体" w:cs="宋体"/>
          <w:bCs/>
          <w:sz w:val="24"/>
          <w:highlight w:val="none"/>
          <w:lang w:eastAsia="zh-CN"/>
        </w:rPr>
        <w:t>、</w:t>
      </w:r>
      <w:r>
        <w:rPr>
          <w:rFonts w:hint="eastAsia" w:ascii="宋体" w:hAnsi="宋体" w:cs="宋体"/>
          <w:bCs/>
          <w:sz w:val="24"/>
          <w:highlight w:val="none"/>
        </w:rPr>
        <w:t>调剂的操作记录及历史数据。</w:t>
      </w:r>
    </w:p>
    <w:p>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lang w:val="en-US" w:eastAsia="zh-CN"/>
        </w:rPr>
        <w:t>4.</w:t>
      </w:r>
      <w:r>
        <w:rPr>
          <w:rFonts w:hint="eastAsia" w:ascii="宋体" w:hAnsi="宋体" w:cs="宋体"/>
          <w:bCs/>
          <w:sz w:val="24"/>
          <w:highlight w:val="none"/>
        </w:rPr>
        <w:t>建立完整的各实验室危险化学品存取管理体系，存储环境健康监测体系。提高全校危险化S学品管理水平，真正做到来源可查、去向可追的去中心化管理目标。</w:t>
      </w:r>
    </w:p>
    <w:p>
      <w:pPr>
        <w:autoSpaceDE w:val="0"/>
        <w:autoSpaceDN w:val="0"/>
        <w:adjustRightInd w:val="0"/>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通过为危险化学品中转库增加必要的基础及安全设施，结合智能设备存储，全生命周期动态监测，大幅提升学院危险化学品安全管理水平和运行效益，在南通高校中建立起良好的示范效应。</w:t>
      </w:r>
    </w:p>
    <w:p>
      <w:pPr>
        <w:pStyle w:val="5"/>
        <w:numPr>
          <w:ilvl w:val="0"/>
          <w:numId w:val="0"/>
        </w:numPr>
        <w:spacing w:line="360" w:lineRule="auto"/>
        <w:rPr>
          <w:sz w:val="28"/>
          <w:szCs w:val="28"/>
          <w:highlight w:val="none"/>
        </w:rPr>
      </w:pPr>
      <w:bookmarkStart w:id="17" w:name="_Toc24912883"/>
      <w:bookmarkStart w:id="18" w:name="_Toc16578"/>
      <w:bookmarkStart w:id="19" w:name="_Toc49934006"/>
      <w:bookmarkStart w:id="20" w:name="_Toc49941333"/>
      <w:bookmarkStart w:id="21" w:name="_Toc17671"/>
      <w:r>
        <w:rPr>
          <w:rFonts w:hint="eastAsia"/>
          <w:sz w:val="28"/>
          <w:szCs w:val="28"/>
          <w:highlight w:val="none"/>
          <w:lang w:eastAsia="zh-CN"/>
        </w:rPr>
        <w:t>（</w:t>
      </w:r>
      <w:r>
        <w:rPr>
          <w:rFonts w:hint="eastAsia"/>
          <w:sz w:val="28"/>
          <w:szCs w:val="28"/>
          <w:highlight w:val="none"/>
          <w:lang w:val="en-US" w:eastAsia="zh-CN"/>
        </w:rPr>
        <w:t>二</w:t>
      </w:r>
      <w:r>
        <w:rPr>
          <w:rFonts w:hint="eastAsia"/>
          <w:sz w:val="28"/>
          <w:szCs w:val="28"/>
          <w:highlight w:val="none"/>
          <w:lang w:eastAsia="zh-CN"/>
        </w:rPr>
        <w:t>）</w:t>
      </w:r>
      <w:r>
        <w:rPr>
          <w:rFonts w:hint="eastAsia"/>
          <w:sz w:val="28"/>
          <w:szCs w:val="28"/>
          <w:highlight w:val="none"/>
        </w:rPr>
        <w:t>设备配置原则</w:t>
      </w:r>
      <w:bookmarkEnd w:id="17"/>
      <w:bookmarkEnd w:id="18"/>
      <w:bookmarkEnd w:id="19"/>
      <w:bookmarkEnd w:id="20"/>
      <w:bookmarkEnd w:id="21"/>
    </w:p>
    <w:p>
      <w:pPr>
        <w:autoSpaceDE w:val="0"/>
        <w:autoSpaceDN w:val="0"/>
        <w:adjustRightInd w:val="0"/>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现代科学技术已广泛地运用到教育领域，实验室安全相关设备的技术水平和价格差异较大。要选择质量上乘，技术领先，价位合理的安全设备，并遵循整体规划、分期实施原则，按科学的方法进行设备配置。</w:t>
      </w:r>
      <w:bookmarkStart w:id="22" w:name="_Toc49941334"/>
      <w:bookmarkStart w:id="23" w:name="_Toc49934007"/>
      <w:bookmarkStart w:id="24" w:name="_Toc24912884"/>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经济实用性原则</w:t>
      </w:r>
      <w:bookmarkEnd w:id="22"/>
      <w:bookmarkEnd w:id="23"/>
      <w:bookmarkEnd w:id="24"/>
      <w:r>
        <w:rPr>
          <w:rFonts w:hint="eastAsia" w:ascii="宋体" w:hAnsi="宋体" w:cs="宋体"/>
          <w:sz w:val="24"/>
          <w:highlight w:val="none"/>
        </w:rPr>
        <w:t>：按经济规律办事，讲究投资的经济效益。既要考虑到</w:t>
      </w:r>
      <w:r>
        <w:rPr>
          <w:rFonts w:hint="eastAsia" w:ascii="宋体" w:hAnsi="宋体" w:cs="宋体"/>
          <w:bCs/>
          <w:sz w:val="24"/>
          <w:highlight w:val="none"/>
        </w:rPr>
        <w:t>南通理工学院危险化学品中转库</w:t>
      </w:r>
      <w:r>
        <w:rPr>
          <w:rFonts w:hint="eastAsia" w:ascii="宋体" w:hAnsi="宋体" w:cs="宋体"/>
          <w:sz w:val="24"/>
          <w:highlight w:val="none"/>
        </w:rPr>
        <w:t>现况和项目建设的必要性，又要考虑到项目的示范</w:t>
      </w:r>
      <w:r>
        <w:rPr>
          <w:rFonts w:hint="eastAsia" w:ascii="宋体" w:hAnsi="宋体" w:cs="宋体"/>
          <w:sz w:val="24"/>
          <w:highlight w:val="none"/>
          <w:lang w:val="en-US" w:eastAsia="zh-CN"/>
        </w:rPr>
        <w:t>效应</w:t>
      </w:r>
      <w:r>
        <w:rPr>
          <w:rFonts w:hint="eastAsia" w:ascii="宋体" w:hAnsi="宋体" w:cs="宋体"/>
          <w:sz w:val="24"/>
          <w:highlight w:val="none"/>
        </w:rPr>
        <w:t>，以国产设备为主，适当引进国外先进设备，结合教学、科研、管理工作的实际需求情况确定设备配置方案和投资规模。</w:t>
      </w:r>
      <w:bookmarkStart w:id="25" w:name="_Toc24912885"/>
      <w:bookmarkStart w:id="26" w:name="_Toc49934008"/>
      <w:bookmarkStart w:id="27" w:name="_Toc49941335"/>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先进性原则</w:t>
      </w:r>
      <w:bookmarkEnd w:id="25"/>
      <w:bookmarkEnd w:id="26"/>
      <w:bookmarkEnd w:id="27"/>
      <w:r>
        <w:rPr>
          <w:rFonts w:hint="eastAsia" w:ascii="宋体" w:hAnsi="宋体" w:cs="宋体"/>
          <w:sz w:val="24"/>
          <w:highlight w:val="none"/>
        </w:rPr>
        <w:t>：既要考虑相关设备的长期使用价值，不至于过早落后淘汰，又要考虑到今后设备的升级和功能扩展。设备应尽量选择有长期合作关系的实验室领域领军企业提供，设备应具有有效的升级手段和扩充接口，使得设备升级和加入新功能方便简单。</w:t>
      </w:r>
      <w:bookmarkStart w:id="28" w:name="_Toc24912886"/>
      <w:bookmarkStart w:id="29" w:name="_Toc49941336"/>
      <w:bookmarkStart w:id="30" w:name="_Toc4993400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环境的适应性原则</w:t>
      </w:r>
      <w:bookmarkEnd w:id="28"/>
      <w:bookmarkEnd w:id="29"/>
      <w:bookmarkEnd w:id="30"/>
      <w:r>
        <w:rPr>
          <w:rFonts w:hint="eastAsia" w:ascii="宋体" w:hAnsi="宋体" w:cs="宋体"/>
          <w:sz w:val="24"/>
          <w:highlight w:val="none"/>
        </w:rPr>
        <w:t>：认真调研拟定改造的实验室，尊重实验室现实情况，制定有针对性的且符合实验室实际需求的改造方案，所采购的安全设备需与实验室现有环境相适应，确保安全设备可以充分利用实验室现有空间进行合理布置并发挥正常的保障效果。</w:t>
      </w:r>
      <w:bookmarkStart w:id="31" w:name="_Toc49941337"/>
      <w:bookmarkStart w:id="32" w:name="_Toc49934010"/>
      <w:bookmarkStart w:id="33" w:name="_Toc2491288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整体规划、分期实施原则</w:t>
      </w:r>
      <w:bookmarkEnd w:id="31"/>
      <w:bookmarkEnd w:id="32"/>
      <w:bookmarkEnd w:id="33"/>
      <w:r>
        <w:rPr>
          <w:rFonts w:hint="eastAsia" w:ascii="宋体" w:hAnsi="宋体" w:cs="宋体"/>
          <w:sz w:val="24"/>
          <w:highlight w:val="none"/>
        </w:rPr>
        <w:t>：实验室安全是一个系统工程，试剂中转库安全规范化改造需从整体上进行设计，并根据</w:t>
      </w:r>
      <w:r>
        <w:rPr>
          <w:rFonts w:hint="eastAsia" w:ascii="宋体" w:hAnsi="宋体" w:cs="宋体"/>
          <w:bCs/>
          <w:sz w:val="24"/>
          <w:highlight w:val="none"/>
        </w:rPr>
        <w:t>南通理工学院危险化学品中转库</w:t>
      </w:r>
      <w:r>
        <w:rPr>
          <w:rFonts w:hint="eastAsia" w:ascii="宋体" w:hAnsi="宋体" w:cs="宋体"/>
          <w:sz w:val="24"/>
          <w:highlight w:val="none"/>
        </w:rPr>
        <w:t>本年度的安全改造经费的允许额度进行设计，利用有限的资金进行最紧要项目的改造，在第一期就能初步实现安全改造的明显效</w:t>
      </w:r>
      <w:bookmarkStart w:id="34" w:name="_Toc49941338"/>
      <w:bookmarkStart w:id="35" w:name="_Toc49934011"/>
      <w:r>
        <w:rPr>
          <w:rFonts w:hint="eastAsia" w:ascii="宋体" w:hAnsi="宋体" w:cs="宋体"/>
          <w:sz w:val="24"/>
          <w:highlight w:val="none"/>
        </w:rPr>
        <w:t>。</w:t>
      </w:r>
    </w:p>
    <w:p>
      <w:pPr>
        <w:pStyle w:val="2"/>
        <w:numPr>
          <w:ilvl w:val="0"/>
          <w:numId w:val="2"/>
        </w:numPr>
        <w:spacing w:line="360" w:lineRule="auto"/>
        <w:rPr>
          <w:b/>
          <w:bCs/>
          <w:sz w:val="32"/>
          <w:szCs w:val="32"/>
          <w:highlight w:val="none"/>
        </w:rPr>
      </w:pPr>
      <w:bookmarkStart w:id="36" w:name="基建配套要求"/>
      <w:r>
        <w:rPr>
          <w:rFonts w:hint="eastAsia"/>
          <w:b/>
          <w:bCs/>
          <w:sz w:val="32"/>
          <w:szCs w:val="32"/>
          <w:highlight w:val="none"/>
        </w:rPr>
        <w:t>基建配套要求</w:t>
      </w:r>
    </w:p>
    <w:bookmarkEnd w:id="36"/>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lang w:val="en-US" w:eastAsia="zh-CN"/>
        </w:rPr>
        <w:t>1.</w:t>
      </w:r>
      <w:r>
        <w:rPr>
          <w:rFonts w:hint="eastAsia"/>
          <w:sz w:val="24"/>
          <w:highlight w:val="none"/>
        </w:rPr>
        <w:t>按设计图纸位置建设危化品中转库，远离教学楼25米，垃圾房12米以上，按尺寸进行房间分隔，含</w:t>
      </w:r>
      <w:r>
        <w:rPr>
          <w:sz w:val="24"/>
          <w:highlight w:val="none"/>
        </w:rPr>
        <w:t>管理间、危化品间、剧毒品间</w:t>
      </w:r>
      <w:r>
        <w:rPr>
          <w:rFonts w:hint="eastAsia"/>
          <w:sz w:val="24"/>
          <w:highlight w:val="none"/>
        </w:rPr>
        <w:t>、普通药品间、</w:t>
      </w:r>
      <w:r>
        <w:rPr>
          <w:sz w:val="24"/>
          <w:highlight w:val="none"/>
        </w:rPr>
        <w:t>危废</w:t>
      </w:r>
      <w:r>
        <w:rPr>
          <w:rFonts w:hint="eastAsia"/>
          <w:sz w:val="24"/>
          <w:highlight w:val="none"/>
        </w:rPr>
        <w:t>品</w:t>
      </w:r>
      <w:r>
        <w:rPr>
          <w:sz w:val="24"/>
          <w:highlight w:val="none"/>
        </w:rPr>
        <w:t>间、医废间、</w:t>
      </w:r>
      <w:r>
        <w:rPr>
          <w:rFonts w:hint="eastAsia"/>
          <w:sz w:val="24"/>
          <w:highlight w:val="none"/>
        </w:rPr>
        <w:t>油品间、蓄电池间。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lang w:val="en-US" w:eastAsia="zh-CN"/>
        </w:rPr>
        <w:t>2.</w:t>
      </w:r>
      <w:r>
        <w:rPr>
          <w:rFonts w:hint="eastAsia"/>
          <w:sz w:val="24"/>
          <w:highlight w:val="none"/>
        </w:rPr>
        <w:t>隔墙要求采用耐火极限不低于2.0H防火墙，要求</w:t>
      </w:r>
      <w:r>
        <w:rPr>
          <w:sz w:val="24"/>
          <w:highlight w:val="none"/>
        </w:rPr>
        <w:t>采用混凝土墙或实心砖墙建造．墙壁厚度应不小于250mm</w:t>
      </w:r>
      <w:r>
        <w:rPr>
          <w:rFonts w:hint="eastAsia"/>
          <w:sz w:val="24"/>
          <w:highlight w:val="none"/>
        </w:rPr>
        <w:t>。油品间、医废间、危废品间脚落开挖400*400*800废液坑，三个房间都顺延房间四周开挖200MM宽排污沟至废液坑，并加盖200MM宽不锈钢盖板，排污沟朝向废液坑的坡度的1%，地面朝向排污沟的坡度为0.5%，所有房间的地面要求采用环氧地坪做好，墙体采用红砖，房间内需防火涂料刷白，外墙与垃圾房一致，各房间墙体按图纸位置预留300*300新风口，房层屋顶采用岩棉加芯钢板层盖，详参14J938D6/D7标准，做好防漏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lang w:val="en-US" w:eastAsia="zh-CN"/>
        </w:rPr>
        <w:t>3.</w:t>
      </w:r>
      <w:r>
        <w:rPr>
          <w:rFonts w:hint="eastAsia"/>
          <w:sz w:val="24"/>
          <w:highlight w:val="none"/>
        </w:rPr>
        <w:t>危化品中转库</w:t>
      </w:r>
      <w:r>
        <w:rPr>
          <w:sz w:val="24"/>
          <w:highlight w:val="none"/>
        </w:rPr>
        <w:t>周界</w:t>
      </w:r>
      <w:r>
        <w:rPr>
          <w:rFonts w:hint="eastAsia"/>
          <w:sz w:val="24"/>
          <w:highlight w:val="none"/>
        </w:rPr>
        <w:t>要求：</w:t>
      </w:r>
      <w:r>
        <w:rPr>
          <w:sz w:val="24"/>
          <w:highlight w:val="none"/>
        </w:rPr>
        <w:t>设置围墙或栅栏。围墙、栅栏的离地高度应大于等于2m</w:t>
      </w:r>
      <w:r>
        <w:rPr>
          <w:rFonts w:hint="eastAsia"/>
          <w:sz w:val="24"/>
          <w:highlight w:val="none"/>
        </w:rPr>
        <w:t>，</w:t>
      </w:r>
      <w:r>
        <w:rPr>
          <w:sz w:val="24"/>
          <w:highlight w:val="none"/>
        </w:rPr>
        <w:t>设置的栅栏应与地面牢固固定。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lang w:val="en-US" w:eastAsia="zh-CN"/>
        </w:rPr>
        <w:t>4.</w:t>
      </w:r>
      <w:r>
        <w:rPr>
          <w:rFonts w:hint="eastAsia"/>
          <w:sz w:val="24"/>
          <w:highlight w:val="none"/>
        </w:rPr>
        <w:t>管理室门口接入上下水，以便连接紧急喷淋系统</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highlight w:val="none"/>
        </w:rPr>
      </w:pPr>
      <w:r>
        <w:rPr>
          <w:rFonts w:hint="eastAsia"/>
          <w:sz w:val="24"/>
          <w:highlight w:val="none"/>
        </w:rPr>
        <w:t>5</w:t>
      </w:r>
      <w:r>
        <w:rPr>
          <w:rFonts w:hint="eastAsia"/>
          <w:sz w:val="24"/>
          <w:highlight w:val="none"/>
          <w:lang w:eastAsia="zh-CN"/>
        </w:rPr>
        <w:t>.</w:t>
      </w:r>
      <w:r>
        <w:rPr>
          <w:rFonts w:hint="eastAsia"/>
          <w:sz w:val="24"/>
          <w:highlight w:val="none"/>
        </w:rPr>
        <w:t>将220V强电、学校数据网络线、监控网络线路、消防联动线路等需要联动的线路送到危化品管理室</w:t>
      </w:r>
    </w:p>
    <w:p>
      <w:pPr>
        <w:spacing w:line="360" w:lineRule="auto"/>
        <w:rPr>
          <w:b/>
          <w:bCs/>
          <w:sz w:val="32"/>
          <w:szCs w:val="32"/>
          <w:highlight w:val="none"/>
        </w:rPr>
      </w:pPr>
      <w:r>
        <w:rPr>
          <w:rFonts w:hint="eastAsia"/>
          <w:b/>
          <w:bCs/>
          <w:sz w:val="32"/>
          <w:szCs w:val="32"/>
          <w:highlight w:val="none"/>
          <w:lang w:val="en-US" w:eastAsia="zh-CN"/>
        </w:rPr>
        <w:t>四</w:t>
      </w:r>
      <w:r>
        <w:rPr>
          <w:rFonts w:hint="eastAsia"/>
          <w:b/>
          <w:bCs/>
          <w:sz w:val="32"/>
          <w:szCs w:val="32"/>
          <w:highlight w:val="none"/>
        </w:rPr>
        <w:t>、</w:t>
      </w:r>
      <w:bookmarkStart w:id="37" w:name="联动对接要求"/>
      <w:r>
        <w:rPr>
          <w:rFonts w:hint="eastAsia"/>
          <w:b/>
          <w:bCs/>
          <w:sz w:val="32"/>
          <w:szCs w:val="32"/>
          <w:highlight w:val="none"/>
        </w:rPr>
        <w:t>联动对接要求</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highlight w:val="none"/>
          <w:lang w:eastAsia="zh-CN"/>
        </w:rPr>
      </w:pPr>
      <w:r>
        <w:rPr>
          <w:rFonts w:hint="eastAsia"/>
          <w:sz w:val="24"/>
          <w:highlight w:val="none"/>
          <w:lang w:val="en-US" w:eastAsia="zh-CN"/>
        </w:rPr>
        <w:t>1.</w:t>
      </w:r>
      <w:r>
        <w:rPr>
          <w:rFonts w:hint="eastAsia"/>
          <w:sz w:val="24"/>
          <w:highlight w:val="none"/>
        </w:rPr>
        <w:t>需要将网络、监控、入侵报警、消防等联动的相应线路送到危化品管理室</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highlight w:val="none"/>
          <w:lang w:eastAsia="zh-CN"/>
        </w:rPr>
      </w:pPr>
      <w:r>
        <w:rPr>
          <w:rFonts w:hint="eastAsia"/>
          <w:sz w:val="24"/>
          <w:highlight w:val="none"/>
          <w:lang w:val="en-US" w:eastAsia="zh-CN"/>
        </w:rPr>
        <w:t>2.</w:t>
      </w:r>
      <w:r>
        <w:rPr>
          <w:rFonts w:hint="eastAsia"/>
          <w:sz w:val="24"/>
          <w:highlight w:val="none"/>
        </w:rPr>
        <w:t>监控系统：提供25个监控IP地址，建设单位负责前端调通，</w:t>
      </w:r>
      <w:r>
        <w:rPr>
          <w:rFonts w:hint="eastAsia"/>
          <w:sz w:val="24"/>
          <w:highlight w:val="none"/>
          <w:lang w:val="en-US" w:eastAsia="zh-CN"/>
        </w:rPr>
        <w:t>与学校安防监控中心对接</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highlight w:val="none"/>
          <w:lang w:eastAsia="zh-CN"/>
        </w:rPr>
      </w:pPr>
      <w:r>
        <w:rPr>
          <w:rFonts w:hint="eastAsia"/>
          <w:sz w:val="24"/>
          <w:highlight w:val="none"/>
        </w:rPr>
        <w:t>3</w:t>
      </w:r>
      <w:r>
        <w:rPr>
          <w:rFonts w:hint="eastAsia"/>
          <w:sz w:val="24"/>
          <w:highlight w:val="none"/>
          <w:lang w:eastAsia="zh-CN"/>
        </w:rPr>
        <w:t>.</w:t>
      </w:r>
      <w:r>
        <w:rPr>
          <w:rFonts w:hint="eastAsia"/>
          <w:sz w:val="24"/>
          <w:highlight w:val="none"/>
        </w:rPr>
        <w:t>网络系统：需提供两个固定网络IP地址</w:t>
      </w:r>
      <w:r>
        <w:rPr>
          <w:rFonts w:hint="eastAsia"/>
          <w:sz w:val="24"/>
          <w:highlight w:val="none"/>
          <w:lang w:eastAsia="zh-CN"/>
        </w:rPr>
        <w:t>，</w:t>
      </w:r>
      <w:r>
        <w:rPr>
          <w:rFonts w:hint="eastAsia"/>
          <w:sz w:val="24"/>
          <w:highlight w:val="none"/>
        </w:rPr>
        <w:t>建设单位负责危品中转库内弱电箱至管理老师办公电脑位置线路正常，学校负责中转库至学校网络中心线路调试</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highlight w:val="none"/>
          <w:lang w:eastAsia="zh-CN"/>
        </w:rPr>
      </w:pPr>
      <w:r>
        <w:rPr>
          <w:rFonts w:hint="eastAsia"/>
          <w:sz w:val="24"/>
          <w:highlight w:val="none"/>
        </w:rPr>
        <w:t>4</w:t>
      </w:r>
      <w:r>
        <w:rPr>
          <w:rFonts w:hint="eastAsia"/>
          <w:sz w:val="24"/>
          <w:highlight w:val="none"/>
          <w:lang w:eastAsia="zh-CN"/>
        </w:rPr>
        <w:t>.</w:t>
      </w:r>
      <w:r>
        <w:rPr>
          <w:rFonts w:hint="eastAsia"/>
          <w:sz w:val="24"/>
          <w:highlight w:val="none"/>
        </w:rPr>
        <w:t>入侵报警：提供入侵报警地址4个，中转库内入侵报警线路正常，</w:t>
      </w:r>
      <w:r>
        <w:rPr>
          <w:rFonts w:hint="eastAsia"/>
          <w:sz w:val="24"/>
          <w:highlight w:val="none"/>
          <w:lang w:val="en-US" w:eastAsia="zh-CN"/>
        </w:rPr>
        <w:t>与学校控制中心连接正常</w:t>
      </w:r>
      <w:r>
        <w:rPr>
          <w:rFonts w:hint="eastAsia"/>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highlight w:val="none"/>
          <w:lang w:eastAsia="zh-CN"/>
        </w:rPr>
      </w:pPr>
      <w:r>
        <w:rPr>
          <w:rFonts w:hint="eastAsia"/>
          <w:sz w:val="24"/>
          <w:highlight w:val="none"/>
        </w:rPr>
        <w:t>5</w:t>
      </w:r>
      <w:r>
        <w:rPr>
          <w:rFonts w:hint="eastAsia"/>
          <w:sz w:val="24"/>
          <w:highlight w:val="none"/>
          <w:lang w:eastAsia="zh-CN"/>
        </w:rPr>
        <w:t>.</w:t>
      </w:r>
      <w:r>
        <w:rPr>
          <w:rFonts w:hint="eastAsia"/>
          <w:sz w:val="24"/>
          <w:highlight w:val="none"/>
        </w:rPr>
        <w:t>消防联动：</w:t>
      </w:r>
      <w:r>
        <w:rPr>
          <w:rFonts w:hint="eastAsia"/>
          <w:sz w:val="24"/>
          <w:highlight w:val="none"/>
          <w:lang w:val="en-US" w:eastAsia="zh-CN"/>
        </w:rPr>
        <w:t>与学校消防进行联动</w:t>
      </w:r>
      <w:r>
        <w:rPr>
          <w:rFonts w:hint="eastAsia"/>
          <w:sz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sz w:val="24"/>
          <w:highlight w:val="none"/>
        </w:rPr>
      </w:pPr>
      <w:r>
        <w:rPr>
          <w:rFonts w:hint="eastAsia"/>
          <w:sz w:val="24"/>
          <w:highlight w:val="none"/>
          <w:lang w:val="en-US" w:eastAsia="zh-CN"/>
        </w:rPr>
        <w:t>6.后续建设单位提供数据接口，协助校方对接学校化学品全过程管理平台（实验室安全管理系统），实现数据同步。</w:t>
      </w:r>
    </w:p>
    <w:p>
      <w:pPr>
        <w:pStyle w:val="4"/>
        <w:numPr>
          <w:ilvl w:val="1"/>
          <w:numId w:val="0"/>
        </w:numPr>
        <w:spacing w:line="360" w:lineRule="auto"/>
        <w:rPr>
          <w:highlight w:val="none"/>
        </w:rPr>
      </w:pPr>
      <w:bookmarkStart w:id="38" w:name="_Toc24912881"/>
      <w:bookmarkStart w:id="39" w:name="_Toc9865"/>
      <w:bookmarkStart w:id="40" w:name="_Toc15777"/>
      <w:bookmarkStart w:id="41" w:name="_Toc49941331"/>
      <w:bookmarkStart w:id="42" w:name="_Toc49934004"/>
      <w:bookmarkStart w:id="43" w:name="_Toc27877"/>
      <w:r>
        <w:rPr>
          <w:rFonts w:hint="eastAsia"/>
          <w:b/>
          <w:bCs/>
          <w:highlight w:val="none"/>
          <w:lang w:val="en-US" w:eastAsia="zh-CN"/>
        </w:rPr>
        <w:t>五</w:t>
      </w:r>
      <w:r>
        <w:rPr>
          <w:rFonts w:hint="eastAsia"/>
          <w:b/>
          <w:bCs/>
          <w:highlight w:val="none"/>
        </w:rPr>
        <w:t>、设备</w:t>
      </w:r>
      <w:bookmarkEnd w:id="38"/>
      <w:r>
        <w:rPr>
          <w:rFonts w:hint="eastAsia"/>
          <w:b/>
          <w:bCs/>
          <w:highlight w:val="none"/>
        </w:rPr>
        <w:t>清单</w:t>
      </w:r>
      <w:bookmarkEnd w:id="39"/>
      <w:bookmarkEnd w:id="40"/>
      <w:bookmarkEnd w:id="41"/>
      <w:bookmarkEnd w:id="42"/>
      <w:r>
        <w:rPr>
          <w:rFonts w:hint="eastAsia"/>
          <w:b/>
          <w:bCs/>
          <w:highlight w:val="none"/>
        </w:rPr>
        <w:t>及图纸</w:t>
      </w:r>
      <w:bookmarkEnd w:id="43"/>
    </w:p>
    <w:bookmarkEnd w:id="34"/>
    <w:bookmarkEnd w:id="35"/>
    <w:p>
      <w:pPr>
        <w:pStyle w:val="4"/>
        <w:numPr>
          <w:ilvl w:val="1"/>
          <w:numId w:val="0"/>
        </w:numPr>
        <w:rPr>
          <w:b/>
          <w:bCs/>
          <w:sz w:val="24"/>
          <w:highlight w:val="none"/>
        </w:rPr>
      </w:pPr>
      <w:r>
        <w:rPr>
          <w:rFonts w:hint="eastAsia"/>
          <w:b/>
          <w:bCs/>
          <w:sz w:val="24"/>
          <w:highlight w:val="none"/>
          <w:lang w:eastAsia="zh-CN"/>
        </w:rPr>
        <w:t>（</w:t>
      </w:r>
      <w:r>
        <w:rPr>
          <w:rFonts w:hint="eastAsia"/>
          <w:b/>
          <w:bCs/>
          <w:sz w:val="24"/>
          <w:highlight w:val="none"/>
          <w:lang w:val="en-US" w:eastAsia="zh-CN"/>
        </w:rPr>
        <w:t>一</w:t>
      </w:r>
      <w:r>
        <w:rPr>
          <w:rFonts w:hint="eastAsia"/>
          <w:b/>
          <w:bCs/>
          <w:sz w:val="24"/>
          <w:highlight w:val="none"/>
          <w:lang w:eastAsia="zh-CN"/>
        </w:rPr>
        <w:t>）</w:t>
      </w:r>
      <w:r>
        <w:rPr>
          <w:rFonts w:hint="eastAsia"/>
          <w:b/>
          <w:bCs/>
          <w:sz w:val="24"/>
          <w:highlight w:val="none"/>
        </w:rPr>
        <w:t>设备清单</w:t>
      </w:r>
    </w:p>
    <w:tbl>
      <w:tblPr>
        <w:tblStyle w:val="15"/>
        <w:tblW w:w="10551" w:type="dxa"/>
        <w:tblInd w:w="-1200" w:type="dxa"/>
        <w:tblLayout w:type="fixed"/>
        <w:tblCellMar>
          <w:top w:w="0" w:type="dxa"/>
          <w:left w:w="108" w:type="dxa"/>
          <w:bottom w:w="0" w:type="dxa"/>
          <w:right w:w="108" w:type="dxa"/>
        </w:tblCellMar>
      </w:tblPr>
      <w:tblGrid>
        <w:gridCol w:w="844"/>
        <w:gridCol w:w="1344"/>
        <w:gridCol w:w="6095"/>
        <w:gridCol w:w="1134"/>
        <w:gridCol w:w="567"/>
        <w:gridCol w:w="567"/>
      </w:tblGrid>
      <w:tr>
        <w:tblPrEx>
          <w:tblCellMar>
            <w:top w:w="0" w:type="dxa"/>
            <w:left w:w="108" w:type="dxa"/>
            <w:bottom w:w="0" w:type="dxa"/>
            <w:right w:w="108" w:type="dxa"/>
          </w:tblCellMar>
        </w:tblPrEx>
        <w:trPr>
          <w:trHeight w:val="600" w:hRule="atLeast"/>
        </w:trPr>
        <w:tc>
          <w:tcPr>
            <w:tcW w:w="844" w:type="dxa"/>
            <w:tcBorders>
              <w:top w:val="single" w:color="auto" w:sz="4" w:space="0"/>
              <w:left w:val="single" w:color="auto" w:sz="4" w:space="0"/>
              <w:bottom w:val="single" w:color="auto" w:sz="4" w:space="0"/>
              <w:right w:val="single" w:color="auto" w:sz="4" w:space="0"/>
            </w:tcBorders>
            <w:shd w:val="clear" w:color="000000" w:fill="C4D79B"/>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序号</w:t>
            </w:r>
          </w:p>
        </w:tc>
        <w:tc>
          <w:tcPr>
            <w:tcW w:w="1344" w:type="dxa"/>
            <w:tcBorders>
              <w:top w:val="single" w:color="auto" w:sz="4" w:space="0"/>
              <w:left w:val="nil"/>
              <w:bottom w:val="single" w:color="auto" w:sz="4" w:space="0"/>
              <w:right w:val="single" w:color="auto" w:sz="4" w:space="0"/>
            </w:tcBorders>
            <w:shd w:val="clear" w:color="000000" w:fill="C4D79B"/>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名称</w:t>
            </w:r>
          </w:p>
        </w:tc>
        <w:tc>
          <w:tcPr>
            <w:tcW w:w="6095" w:type="dxa"/>
            <w:tcBorders>
              <w:top w:val="single" w:color="auto" w:sz="4" w:space="0"/>
              <w:left w:val="nil"/>
              <w:bottom w:val="single" w:color="auto" w:sz="4" w:space="0"/>
              <w:right w:val="single" w:color="auto" w:sz="4" w:space="0"/>
            </w:tcBorders>
            <w:shd w:val="clear" w:color="000000" w:fill="C4D79B"/>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主要规格参数</w:t>
            </w:r>
          </w:p>
        </w:tc>
        <w:tc>
          <w:tcPr>
            <w:tcW w:w="1134" w:type="dxa"/>
            <w:tcBorders>
              <w:top w:val="single" w:color="auto" w:sz="4" w:space="0"/>
              <w:left w:val="nil"/>
              <w:bottom w:val="single" w:color="auto" w:sz="4" w:space="0"/>
              <w:right w:val="single" w:color="auto" w:sz="4" w:space="0"/>
            </w:tcBorders>
            <w:shd w:val="clear" w:color="000000" w:fill="C4D79B"/>
            <w:noWrap/>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推荐品牌</w:t>
            </w:r>
          </w:p>
        </w:tc>
        <w:tc>
          <w:tcPr>
            <w:tcW w:w="567" w:type="dxa"/>
            <w:tcBorders>
              <w:top w:val="single" w:color="auto" w:sz="4" w:space="0"/>
              <w:left w:val="nil"/>
              <w:bottom w:val="single" w:color="auto" w:sz="4" w:space="0"/>
              <w:right w:val="single" w:color="auto" w:sz="4" w:space="0"/>
            </w:tcBorders>
            <w:shd w:val="clear" w:color="000000" w:fill="C4D79B"/>
            <w:noWrap/>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数量</w:t>
            </w:r>
          </w:p>
        </w:tc>
        <w:tc>
          <w:tcPr>
            <w:tcW w:w="567" w:type="dxa"/>
            <w:tcBorders>
              <w:top w:val="single" w:color="auto" w:sz="4" w:space="0"/>
              <w:left w:val="nil"/>
              <w:bottom w:val="single" w:color="auto" w:sz="4" w:space="0"/>
              <w:right w:val="single" w:color="auto" w:sz="4" w:space="0"/>
            </w:tcBorders>
            <w:shd w:val="clear" w:color="000000" w:fill="C4D79B"/>
            <w:noWrap/>
            <w:vAlign w:val="center"/>
          </w:tcPr>
          <w:p>
            <w:pPr>
              <w:widowControl/>
              <w:jc w:val="center"/>
              <w:rPr>
                <w:rFonts w:ascii="宋体" w:hAnsi="宋体" w:cs="宋体"/>
                <w:b/>
                <w:bCs/>
                <w:color w:val="000000"/>
                <w:kern w:val="0"/>
                <w:sz w:val="22"/>
                <w:szCs w:val="22"/>
                <w:highlight w:val="none"/>
              </w:rPr>
            </w:pPr>
            <w:r>
              <w:rPr>
                <w:rFonts w:hint="eastAsia" w:ascii="宋体" w:hAnsi="宋体" w:cs="宋体"/>
                <w:b/>
                <w:bCs/>
                <w:color w:val="000000"/>
                <w:kern w:val="0"/>
                <w:sz w:val="22"/>
                <w:szCs w:val="22"/>
                <w:highlight w:val="none"/>
              </w:rPr>
              <w:t>单位</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一</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入户门</w:t>
            </w:r>
          </w:p>
        </w:tc>
        <w:tc>
          <w:tcPr>
            <w:tcW w:w="6095" w:type="dxa"/>
            <w:tcBorders>
              <w:top w:val="nil"/>
              <w:left w:val="nil"/>
              <w:bottom w:val="single" w:color="auto" w:sz="4" w:space="0"/>
              <w:right w:val="single" w:color="auto" w:sz="4" w:space="0"/>
            </w:tcBorders>
            <w:shd w:val="clear" w:color="000000" w:fill="FABF8F"/>
            <w:vAlign w:val="center"/>
          </w:tcPr>
          <w:p>
            <w:pPr>
              <w:widowControl/>
              <w:rPr>
                <w:rFonts w:ascii="宋体" w:hAnsi="宋体" w:cs="宋体"/>
                <w:color w:val="000000"/>
                <w:kern w:val="0"/>
                <w:sz w:val="22"/>
                <w:szCs w:val="22"/>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color w:val="000000"/>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甲级防盗门</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甲级防盗门尺寸约：960×2050mm双把B级机械锁</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国产优质</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樘</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防火门</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防火门尺寸约：960×2050mm</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国产优质</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樘</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lang w:val="en-US" w:eastAsia="zh-CN"/>
              </w:rPr>
              <w:t>3</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rPr>
              <w:t>人脸识别一体机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操作系统：嵌入式Linux操作系统；</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屏幕参数： 7英寸触摸显示屏，屏幕比例9:16，屏幕分辨率600*1024；</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摄像头参数：采用宽动态200万双目摄像头；</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认证方式：支持人脸、刷卡（IC卡、手机NFC卡、CPU卡序列号/内容、身份证卡序列号）、密码认证方式，可外接身份证、指纹、蓝牙、二维码功能模块；</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人脸识别：采用深度学习算法，支持单人或多人识别（最多5人同时认证）功能；支持照片、视频防假；1:N人脸识别速度≤0.2s，人脸验证准确率≥99%；</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存储容量：本地支持10000人脸库、50000张卡，15万条事件记录；</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硬件接口：LAN*1、RS485*1、Wiegand * 1（支持双向）、typeC类型USB接口*1、电锁*1、门磁*1、报警输入*2、报警输出*1、开门按钮*1、SD卡槽*1（最大支持512GB）、3.5mm音频输出接口*1；</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通信方式及网络协议：有线网络；</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使用环境：IP65，室内外环境（室外使用必须搭配遮阳罩）；</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安装方式：壁挂安装（标配挂板，适配86底盒）；</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工作电压： DC12V~24V/2A（电源需另配）；</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产品尺寸：209.2*110.5*24mm；</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设备重量：净重0.56kg，毛重0.88kg</w:t>
            </w:r>
          </w:p>
          <w:p>
            <w:pPr>
              <w:pStyle w:val="2"/>
              <w:rPr>
                <w:rFonts w:hint="eastAsia" w:ascii="Calibri" w:hAnsi="Calibri" w:eastAsia="宋体" w:cs="Times New Roman"/>
                <w:kern w:val="2"/>
                <w:sz w:val="21"/>
                <w:szCs w:val="24"/>
                <w:highlight w:val="none"/>
                <w:lang w:val="en-US" w:eastAsia="zh-CN" w:bidi="ar-SA"/>
              </w:rPr>
            </w:pPr>
            <w:r>
              <w:rPr>
                <w:rFonts w:hint="eastAsia" w:ascii="宋体" w:hAnsi="宋体" w:cs="宋体"/>
                <w:color w:val="000000"/>
                <w:kern w:val="0"/>
                <w:sz w:val="22"/>
                <w:szCs w:val="22"/>
                <w:highlight w:val="none"/>
              </w:rPr>
              <w:t>★</w:t>
            </w:r>
            <w:r>
              <w:rPr>
                <w:rFonts w:hint="eastAsia"/>
                <w:highlight w:val="none"/>
                <w:lang w:val="en-US" w:eastAsia="zh-CN"/>
              </w:rPr>
              <w:t>人脸识别一体机必须与现有学校门禁对接，实现数据共享</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val="en-US" w:eastAsia="zh-CN"/>
              </w:rPr>
              <w:t>海康威视</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lang w:val="en-US" w:eastAsia="zh-CN"/>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lang w:val="en-US" w:eastAsia="zh-CN"/>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lang w:val="en-US" w:eastAsia="zh-CN"/>
              </w:rPr>
              <w:t>4</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rPr>
              <w:t>双门磁力锁</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锁体主体颜色为深灰色。</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最大静态直线拉力：280kg ± 15%  * 2</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断电开锁，满足消防要求；</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具有电锁状态指示灯（红灯为开锁状态， 绿灯为上锁状态）；</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支持锁状态侦测信号（门磁）输出：NO/NC/COM接点；</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工作电压：12V/840mA 或 24V/420mA；</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锁体尺寸：长476*宽47*厚28(mm)；</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吸板尺寸：长182*宽38*高13(mm)；</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使用环境：室内（不防水）；</w:t>
            </w:r>
          </w:p>
          <w:p>
            <w:pPr>
              <w:widowControl/>
              <w:jc w:val="left"/>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rPr>
              <w:t>适用门型：木门、玻璃门、金属门、防火门。</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val="en-US" w:eastAsia="zh-CN"/>
              </w:rPr>
              <w:t>海康威视</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cs="宋体"/>
                <w:color w:val="000000"/>
                <w:kern w:val="0"/>
                <w:sz w:val="22"/>
                <w:szCs w:val="22"/>
                <w:highlight w:val="none"/>
                <w:lang w:val="en-US" w:eastAsia="zh-CN"/>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bidi="ar-SA"/>
              </w:rPr>
            </w:pPr>
            <w:r>
              <w:rPr>
                <w:rFonts w:hint="eastAsia" w:ascii="宋体" w:hAnsi="宋体" w:cs="宋体"/>
                <w:kern w:val="0"/>
                <w:sz w:val="22"/>
                <w:szCs w:val="22"/>
                <w:highlight w:val="none"/>
                <w:lang w:val="en-US" w:eastAsia="zh-CN"/>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二</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安全储存设备</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易制爆安全柜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（1）外部尺寸约：1800*900*450mm外壳体全部采用≥1.0mm的冷轧钢板，柜体底座采用≥2.0mm的冷轧钢板</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内外表面经酸洗磷化环氧树脂粉末喷涂，烘热固化处理。产品依照GB/T10125-2021进行盐雾试验，依照GB/T6461-2002金属基体上和其他无机覆盖层经腐蚀试验（★响应文件须提供具有CMA或CNAS认证标志的第三方检测机构出具的整柜盐雾试验检测报告扫描件，</w:t>
            </w:r>
            <w:r>
              <w:rPr>
                <w:rFonts w:hint="eastAsia" w:ascii="宋体" w:hAnsi="宋体" w:cs="宋体"/>
                <w:color w:val="000000"/>
                <w:kern w:val="0"/>
                <w:sz w:val="22"/>
                <w:szCs w:val="22"/>
                <w:highlight w:val="none"/>
                <w:lang w:val="en-US" w:eastAsia="zh-CN"/>
              </w:rPr>
              <w:t>仅提供部件无效，</w:t>
            </w:r>
            <w:r>
              <w:rPr>
                <w:rFonts w:hint="eastAsia" w:ascii="宋体" w:hAnsi="宋体" w:cs="宋体"/>
                <w:color w:val="000000"/>
                <w:kern w:val="0"/>
                <w:sz w:val="22"/>
                <w:szCs w:val="22"/>
                <w:highlight w:val="none"/>
              </w:rPr>
              <w:t>报告满足以上参数要求，防盐雾腐蚀保护等级不低于10级，外观评级不低于A级，提供权威报告。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（2）柜体的底板中部有漏液孔，上覆不锈钢漏液网；柜体底部设高160mm黄沙防倒挡板，可用作黄沙填埋腔，用于埋放金属钠、黄磷、白磷等固体易燃物。</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（3）柜体柜门安装防火膨胀密封件，密封件符合GB16807-2009的要求。在火灾发生时，膨胀条膨胀，将所有的缝隙密封，防止热量进入柜内；</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（4）采用双把机械防盗锁，双人双锁管理防盗机械锁符合GA/T73-2015标准；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（5）配置静电泄放装置，将静电荷导入大地，降低静电火花造成火灾风险；</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▲（6）柜体需做空载稳定性测试，力矩≥200N.m，不应倾翻。提供权威报告。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柜内配备的防渗漏托盘为PP材质，所使用的PP板材具有阻燃功能，PP板阻燃级别达到V-0等级，依据GB/T24282-2021进行二甲苯可溶物含量检测，依据GB/T38286-2019进行过氧化值的测定，（响应文件须提供具有CMA或CNAS认证标志的第三方检测机构出具的PP板材检测报告复印件加盖投标人公章，报告须同时满足以上参数中的阻燃级别、二甲苯可溶物含量和过氧化氢值的测定检测要求，报告能通过报告上的二维码或者检测机构网址查询，现场查验真伪，投标需提供国家市场监督管理总局官网针对提供的检验检测报告编号查询结果及查询截图，未提供或提供不满足要求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（8）警示标识：专业规范的警示，反光、烟雾中可视，提供了额外的安全保障；</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整柜为抗爆结构，柜体采用≥1.2mm厚冷轧钢板，底座采用≥2.5mm厚冷轧钢板。柜内部采用复合型抗爆材料，具备优良的抗爆性能。依照GA871-2010进行抗爆检测，内爆试验柜体可抵抗不小于5g当量TNT爆炸冲击波，柜体外表面完好，未见明显变形及破损，试验后柜门未被冲开，能正常开闭。外爆试验柜体可抵抗不小于10g当量TNT爆炸冲击波，柜体未见明显变形及破损，试验后柜门未被冲开，能正常开闭。柜体内部中央放置的化学品试剂瓶及定量瓶完好，未破损及倾倒【提供CNAS或CMA认证的国家级检测（测试）机构出具的同类型防爆柜整柜的抗爆检验（测试）报告，报告中需体现检测过程图片，包含但不限于TNT当量爆炸物外形及放入化学品柜中情况图、内爆检验现场布置图、内爆炸后柜体内部状态图、外爆后柜体外观状态图、外爆后柜体内部试剂瓶状态图），同时提供中国合格评定国家认可委员会出具的该检测机构具备依照GA871-2010进行抗爆测试的能力认可范围证明材料。未提供证明材料或提供的证明材料无法证明其参数要求的，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防火性能：柜体填充具有保温隔热作用的防火材料，响应文件须提供取得CMA或CNAS认证的检测机构出具的同类型防火柜整柜不小于30分钟耐火检测报告，检测报告中需体现检测过程中防火柜内热电偶位置图、炉内温度/时间曲线图、热电偶温升/时间曲线图、检测前后样品比对照片等。耐火检测报告可通过二维码或检测机构官网查询报告证伪。投标单位需提供中国合格评定国家认可委员会针对该检测机构出具的防火安全柜参照EN14470-1:2004标准进行耐火测试的能力认可范围证明材料，证明材料需加盖中国合格评定国家认可委员会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▲（12）提供该产品的《中国环保产品认证证书》。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13）配有易制毒、易制爆、剧毒品等管制类危险化学品名录及MSDS查询功能，危险化学品名录MSDS信息包括但不限于：化学品信息、成分/组成信息、危险性概述、急救措施、消防措施、泄漏应急处理、个体防护等信息，投标文件需提供以上响应功能参数的原厂家技术彩页进行佐证，彩页须加盖制造商公章，制造商需同时提供信息安全管理体系认证证书。</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毒害品安全柜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（1）外部尺寸约：1800*900*450mm外壳体全部采用≥1.0mm的冷轧钢板，柜体底座采用≥2.0mm的冷轧钢板</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内外表面经酸洗磷化环氧树脂粉末喷涂，烘热固化处理。产品依照GB/T10125-2021进行盐雾试验，依照GB/T6461-2002金属基体上和其他无机覆盖层经腐蚀试验（★响应文件须提供具有CMA或CNAS认证标志的第三方检测机构出具的整柜盐雾试验检测报告扫描件，报告满足以上参数要求，防盐雾腐蚀保护等级不低于10级，外观评级不低于A级，不满足的视为负负偏离，提供权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（2）柜体的底板中部有漏液孔，上覆不锈钢漏液网；柜体底部设高160mm黄沙防倒挡板，可用作黄沙填埋腔，用于埋放金属钠、黄磷、白磷等固体易燃物。</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（3）柜体柜门安装防火膨胀密封件，密封件符合GB16807-2009的要求。在火灾发生时，膨胀条膨胀，将所有的缝隙密封，防止热量进入柜内；</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（4）采用双把机械防盗锁，双人双锁管理防盗机械锁符合GA/T73-2015标准；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（5）配置静电泄放装置，将静电荷导入大地，降低静电火花造成火灾风险；</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▲（6）柜体需做空载稳定性测试，力矩≥200N.m，不应倾翻。提供权威报告。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柜内配备的防渗漏托盘为PP材质，所使用的PP板材具有阻燃功能，PP板阻燃级别达到V-0等级，依据GB/T24282-2021进行二甲苯可溶物含量检测，依据GB/T38286-2019进行过氧化值的测定，（响应文件须提供具有CMA或CNAS认证标志的第三方检测机构出具的PP板材检测报告复印件加盖投标人公章，报告须同时满足以上参数中的阻燃级别、二甲苯可溶物含量和过氧化氢值的测定检测要求，报告能通过报告上的二维码或者检测机构网址查询，现场查验真伪，不满足的视为负偏离，投标需提供国家市场监督管理总局官网针对提供的检验检测报告编号查询结果及查询截图，未提供或提供不满足要求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（8）警示标识：专业规范的警示，反光、烟雾中可视，提供了额外的安全保障；</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整柜为抗爆结构，柜体采用≥1.2mm厚冷轧钢板，底座采用≥2.5mm厚冷轧钢板。柜内部采用复合型抗爆材料，具备优良的抗爆性能。依照GA871-2010进行抗爆检测，内爆试验柜体可抵抗不小于5g当量TNT爆炸冲击波，柜体外表面完好，未见明显变形及破损，试验后柜门未被冲开，能正常开闭。外爆试验柜体可抵抗不小于10g当量TNT爆炸冲击波，柜体未见明显变形及破损，试验后柜门未被冲开，能正常开闭。柜体内部中央放置的化学品试剂瓶及定量瓶完好，未破损及倾倒【提供CNAS或CMA认证的国家级检测（测试）机构出具的同类型防爆柜整柜的抗爆检验（测试）报告，报告中需体现检测过程图片，包含但不限于TNT当量爆炸物外形及放入化学品柜中情况图、内爆检验现场布置图、内爆炸后柜体内部状态图、外爆后柜体外观状态图、外爆后柜体内部试剂瓶状态图），同时提供中国合格评定国家认可委员会出具的该检测机构具备依照GA871-2010进行抗爆测试的能力认可范围证明材料。未提供证明材料或提供的证明材料无法证明其参数要求的，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防火性能：柜体填充具有保温隔热作用的防火材料，响应文件须提供取得CMA或CNAS认证的检测机构出具的同类型防火柜整柜不小于30分钟耐火检测报告，检测报告中需体现检测过程中防火柜内热电偶位置图、炉内温度/时间曲线图、热电偶温升/时间曲线图、检测前后样品比对照片等。耐火检测报告可通过二维码或检测机构官网查询报告证伪。投标单位需提供中国合格评定国家认可委员会针对该检测机构出具的防火安全柜参照EN14470-1:2004标准进行耐火测试的能力认可范围证明材料，证明材料需加盖中国合格评定国家认可委员会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▲（12）提供该产品的《中国环保产品认证证书》。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13）配有易制毒、易制爆、剧毒品等管制类危险化学品名录及MSDS查询功能，危险化学品名录MSDS信息包括但不限于：化学品信息、成分/组成信息、危险性概述、急救措施、消防措施、泄漏应急处理、个体防护等信息，投标文件需提供以上响应功能参数的原厂家技术彩页进行佐证，彩页须加盖制造商公章，制造商需同时提供信息安全管理体系认证证书。</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PP柜药品柜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（1）外部尺寸约：H1800*W900*D450mm，PP药品柜柜体采用8mm厚度瓷白色聚丙烯板材，经无缝焊接处理。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（2）内置4根加强型PP立柱折弯一次成型，无焊接固定，结构坚固结实，立柱设有层板挂钩调节孔。</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（3）门板，双开门或双开门设计。门板厚度15mm。</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（4）锁具：配备双锁，双人管理，防腐锁具，双锁结构，锁具无金属外漏。</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所使用的PP板材具有阻燃功能，其PP板阻燃级别达到V-0等级，依据GB/T24282-2021进行二甲苯可溶物含量检测，检测结果须为未检出。（响应文件须提供具有CMA或CNAS认证标志的第三方检测机构出具的PP板材检测报告复印件加盖投标人公章，报告须同时满足以上参数中的阻燃级别和二甲苯可溶物含量检测要求，报告能通过报告上的二维码或者检测机构网址查询，现场查验真伪，不满足的视为负偏离，投标需提供国家市场监督管理总局官网针对提供的检验检测报告编号查询结果及查询截图，未提供或提供不满足要求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（6）耐腐蚀药品柜内部及外部（含标配锁具，每套门标配两把锁具）均没有金属部件裸露，柜体内部全部采用PP材质，采用耐腐蚀性能低于PP材质的部件，均在生产工艺上做耐腐蚀处理。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★（7）产品符合GB24820-2009《实验室家具通用技术条件》及GB28481-2012《塑料家具中有害物质限量》标准。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▲（8）产品依据GB/T18204.2-2014进行检测，其中甲醛≤0.058mg·m³、苯≤0.03mg·m³、甲苯≤0.03mg·m³。响应文件中须提供第三方检测机构出具的PP药品柜检测报告。）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（9）配备三块层板，单块层板的承载量不小于100kg。响应文件中须提供具备CNAS或CMA认证的第三方检测机构出具的PP层板承重测试报告。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（10）提供该产品的《中国环保产品认证证书》。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配有易制毒、易制爆、剧毒品等管制类危化品信息查询功能，可实时查询危化品是否为管制类相关信息。投标文件需提供以上响应功能参数的原厂家产品技术彩页进行佐证，彩页须加盖制造商公章，制造商需同时提供信息技术服务管理体系认证证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▲（12）采用一体注塑高强度PP防漏液平层板，承重性能不低于100KG。并依据GB/T10357.5-2011进行测定，隔板均布载荷1.0kg/dm²，加载时间7d，加载时隔板挠度≤跨距/200</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卸载后隔板挠度≤跨距/1000，检测结果均符合要求【提供具有CMA或CNAS认证标志的第三方检测机构出具的PP隔板弯曲试验检测报告复印件，不满足的视为负偏离】</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保险柜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（1）产品规格（H*W*D）H1800×W900×D450mm，各维度可±100mm调整。</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柜体和柜门均由实心低碳合金钢板通过折边焊接构造整体成型，柜门钢板厚度10mm，柜体钢板厚度5mm，柜体重量要求大于等于150KG。符合GB10409-2019防盗保险柜（箱）标准防盗级别。（响应文件须提供柜体生产厂家通过具有公安机关认可的检测机构出具的防盗保险柜认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（3）锁具：双人双锁管理</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虎牌、埃德伯格，</w:t>
            </w:r>
            <w:r>
              <w:rPr>
                <w:rFonts w:hint="eastAsia" w:ascii="宋体" w:hAnsi="宋体" w:cs="宋体"/>
                <w:color w:val="000000"/>
                <w:kern w:val="0"/>
                <w:szCs w:val="21"/>
                <w:highlight w:val="none"/>
                <w:lang w:val="en-US" w:eastAsia="zh-CN"/>
              </w:rPr>
              <w:t>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不锈钢货架</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货架规格为2000×600×1650mm型，货架分为两层，单层承重量不低于300公斤，每层均配有PP防渗漏托盘，所有货架均安装防倾倒推拉式护栏。所使用的PP板材具有阻燃功能，其PP板阻燃级别达到V-0等级。</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不锈钢货架</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货架规格为1500×600×1650mm，货架分为两层，单层承重量不低于300公斤，每层均配有PP防渗漏托盘，所有货架均安装防倾倒推拉式护栏。所使用的PP板材具有阻燃功能，其PP板阻燃级别达到V-0等级。</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一体五门柜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（1）外形尺寸约：HWD（mm）：2080*1200*600（误差≤±5%），一体式结构，分5个独立单元。</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配有不小于15寸触摸显示屏一体机，可通过触摸屏一体机进行试剂初次存入、领用、归还、库存查询和台账查询等流程的申请和实施；配有量程0.1G～10KG、称重传感器对储存试剂进行初始化、出库、入库称重，与核心平台系统配合实现对称重数据进行自动登记并形成管理台帐；配有不低于200万像素双目摄像头，用作系统人脸识别；配有RFID射频功能，使得打印出的标签信息匹配需要入库的试剂信息，容器编号、化学品名、CAS号、管制类别等，实现对化学品试剂的身份信息定义。配有扫码模块或识别模块，用于出入柜快速识别电子信息。</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防火性能：柜体填充具有保温隔热作用的防火材料，响应文件须提供取得CMA或CNAS认证的检测机构出具的同类型防火柜整柜不小于60分钟耐火检测报告，检测报告中需体现检测过程中防火柜内热电偶位置图、炉内温度/时间曲线图、热电偶温升/时间曲线图、检测前后样品比对照片等。（耐火检测报告可通过二维码或检测机构官网查询报告证伪。投标单位需提供中国合格评定国家认可委员会针对该检测机构出具的防火安全柜参照EN14470-1:2004标准进行耐火测试的能力认可范围证明材料，证明材料需加盖中国合格评定国家认可委员会公章；未提供证明材料或提供的证明材料无法证明其参数要求的，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使用的PP板材具有阻燃功能，其PP板阻燃级别达到V-0等级，依据GB/T24282-2021进行二甲苯可溶物含量检测，检测结果须为未检出。（响应文件须提供具有CMA或CNAS认证标志的第三方检测机构出具的PP板材检测报告复印件加盖投标人公章，报告须同时满足以上参数中的阻燃级别和二甲苯可溶物含量检测要求，报告能通过报告上的二维码或者检测机构网址查询，现场查验真伪，不满足的视为负偏离，投标需提供国家市场监督管理总局官网针对提供的检验检测报告编号查询结果及查询截图，未提供或提供不满足要求视为负偏离）。</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（5）柜门与柜体之间安装防火膨胀密封件，密封件应符合GB16807-2009的要求。</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（6）柜体顶部配有离心风机和过滤器，有效防止危险化学品挥发物聚集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顶部排风装置受控于主柜，可根据设定按时控模式和自定义模式等方式排风，风速可调可控；柜内设有湿度-电化学VOC一体传感器，0-500ppm，用以检测当前柜体内部环境，检测柜内VOC浓度和温湿度，当浓度超标，当前柜体报警，并启动通排风系统，降低柜内环境气体浓度，同时报警消息推送至移动端，提醒相关负责人处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（8）铰链：钢琴式铰链，确保门能开180度。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（9）锁具：电控锁加机械防盗锁，实现双人双锁管理，电控锁具有柜门未关闭报警功能，机械锁具配置符合GA/T73标准，完全符合公安、安监等部门关于易制爆危化品储存的检查要求。</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（10）柜底装有四个福马轮，便于柜移动。</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（11）电源：应符合GB10409-2001中5.5要求。</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（12）防静电装置：产品配置防静电装置，用导线夹将常备接地与安全柜可靠连接，将静电导入大地，防止静电火花造成火灾和爆炸事故。</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（13）各分区背板上设置独立的进气孔和排气孔。</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14）柜体内部设有天线，试剂出库自动识别，对应的智能试剂柜自动进行柜内盘点对比，无需人工扫描，自动记录拿走的试剂信息，生成电子记录。并记录化学品出库信息，包含容器编号、化学品名、CAS号、供应商、重量、规格、单位、管控级别、操作员、所属设备、操作时间等，支持化学品出库数据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（15）提供该产品的《中国环保产品认证证书》。</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二</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管控系统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智能一体柜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（1）外形尺寸：HWD(mm):1470*800*600(误差≤±5%)</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柜体表面涂层：环氧树脂粉末静电喷涂处理，喷涂均匀，无锈点、毛刺、防尘、防锈和防潮，最大限度降低腐蚀和湿气的影响。表面采用耐腐蚀型环氧树脂粉末喷涂。产品依照GB/T10125-2021进行盐雾试验，依照GB/T6461-2002金属基体上和其他无机覆盖层经腐蚀试验，报告结果防盐雾腐蚀保护等级不低于10级，外观评价A级（★响应文件须提供具有CMA或CNAS认证标志的第三方检测机构出具的整柜盐雾试验检测报告扫描件，报告满足以上参数要求，检测结果保护等级不低于10级，外观评级不低于A级，不满足的视为负偏离，提供权威报告。</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配有不小于15寸触摸显示屏一体机，可通过触摸屏一体机进行试剂初次存入、领用、归还、库存查询和台账查询等流程的申请和实施；配有量程0.1G～10KG、称重传感器对储存试剂进行初始化、出库、入库称重，与核心平台系统配合实现对称重数据进行自动登记并形成管理台帐；配有不低于200万像双目摄像头，摄像头高度可调，用作系统人脸识别；配备RFID打印机，通过打印机对标签试剂信息打印，使得打印出的射频标贴信息匹配需要入库的试剂信息，容器编号、化学品名、CAS号、管制类别等，实现对化学品试剂的身份信息定义。配有扫码模块或识别模块，用于出入柜快速识别电子信息。</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（4）电源：应符合GB10409-2001中5.5要求；</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（5）柜底装有四个福马轮，便于柜体移动；</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（6）投标需提供投标样品一台现场展示。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管理软件</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软件功能需包含：基础信息管理：实验室管理、储存柜管理、人员管理、化学品管理；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（1）实验室管理：主要完成实验室信息的新增、查询和维护功能；</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（2）储存柜管理：主要完成对存储柜信息的查询和维护功能；</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（3）人员管理：主要完成实验室管理员、操作员账号信息的新增、查询和维护功能；</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（4）化学品管理：提供不少于2828种化学品基础数据库，支持用户对化学品信息进行新增、查询和维护；</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（5）化学品存储管理：同步更新存储柜及化学品库存数据，支持按化学品名、实验室、CAS号、容器编号对化学品的库存进行查询，支持化学品总库存量的导出；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（6）台账信息：实验室初次入柜记录、实验室入库明细、实验室作废明细、操作明细、实验室出库明细；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（7）实验室初次入库记录：记录实验室中各个存储柜初次入库的化学品信息，包含入柜单号、cas号、化学品名、化学品分类、初次入柜数量、单位、总重量、操作人、操作时间等，支持初次入柜数据导出；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（8）实验室入库明细：记录化学品历次入库信息，包含容器编号、化学品名、CAS号、供应商、重量、规格、单位、管控级别、人脸识别照片、操作员、所属设备、操作时间等，支持化学品入库数据导出；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（9）作废明细：记录化学品作废信息，包含容器编号、化学品名、CAS号、供应商、重量、规格、单位、管控级别、操作员、所属设备、操作时间等，支持化学品作废数据导出；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（10）操作明细：记录用户操作记录，包含操作人、操作项目、设备名称、操作时间；</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实验室出库明细：记录化学品出库信息，包含容器编号、化学品名、CAS号、供应商、重量、净重、毛重、瓶重、规格、单位、管控级别、人脸识别照片、操作员、所属设备、操作时间等，支持化学品出库数据导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（12）★提供响应功能参数的原厂家产品技术彩页（彩页须加盖制造商公章，复印件、扫描件无效）。</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13）.配有MSDS查询功能，可实时查询不少于2828危险化学品名录MSDS信息包括但不限于：化学品信息、成分/组成信息、危险性概述、急救措施、消防措施、泄漏应急处理、个体防护等信息，投标文件需提供以上响应功能参数的原厂家产品技术彩页进行佐证，彩页须加盖制造商公章，制造商需同时提供信息安全管理体系认证证书。</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14）配有易制毒、易制爆、剧毒品等管制类危化品信息查询功能，可实时查询危化品是否为管制类相关信息。投标文件需提供以上响应功能参数的原厂家产品技术彩页进行佐证，彩页须加盖制造商公章，制造商需同时提供信息技术服务管理体系认证证书。</w:t>
            </w:r>
          </w:p>
          <w:p>
            <w:pPr>
              <w:widowControl/>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lang w:val="en-US" w:eastAsia="zh-CN"/>
              </w:rPr>
              <w:t>15）</w:t>
            </w:r>
            <w:r>
              <w:rPr>
                <w:rFonts w:hint="eastAsia" w:ascii="宋体" w:hAnsi="宋体" w:cs="宋体"/>
                <w:color w:val="000000"/>
                <w:kern w:val="0"/>
                <w:sz w:val="22"/>
                <w:szCs w:val="22"/>
                <w:highlight w:val="none"/>
              </w:rPr>
              <w:t>通过危化品管理</w:t>
            </w:r>
            <w:r>
              <w:rPr>
                <w:rFonts w:hint="eastAsia" w:ascii="宋体" w:hAnsi="宋体" w:cs="宋体"/>
                <w:color w:val="000000"/>
                <w:kern w:val="0"/>
                <w:sz w:val="22"/>
                <w:szCs w:val="22"/>
                <w:highlight w:val="none"/>
                <w:lang w:val="en-US" w:eastAsia="zh-CN"/>
              </w:rPr>
              <w:t>软件</w:t>
            </w:r>
            <w:r>
              <w:rPr>
                <w:rFonts w:hint="eastAsia" w:ascii="宋体" w:hAnsi="宋体" w:cs="宋体"/>
                <w:color w:val="000000"/>
                <w:kern w:val="0"/>
                <w:sz w:val="22"/>
                <w:szCs w:val="22"/>
                <w:highlight w:val="none"/>
              </w:rPr>
              <w:t>建立开放的信息化平台，使用网络和物联网技术将软件管理平台和库房、二级学院实验室的储存设备相结合，进行有效的数据交换与联动，集成电子标签管理、储存分配、身份识别、门锁联动、精密称重、异常报警</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lang w:val="en-US" w:eastAsia="zh-CN"/>
              </w:rPr>
              <w:t>临期预警、过期预警、低库存预警、超时未入库预警、异常操作预警等</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环境监测、视频监控，实现入库、出库、使用、产废等业务环节的全流程管理。并结合智能管控柜，为用户危险化学品提供全流程的智能管控及安全储存保障。建立一套从试剂购买、入库、领用、储存、归还、使用及报废的全生命周期管理系统，对试剂的全生命周期进行管控和追踪，确保整个数据链条的完整性，实现使用智能化、储存安全化、业务标准化。</w:t>
            </w:r>
          </w:p>
          <w:p>
            <w:pPr>
              <w:pStyle w:val="2"/>
              <w:rPr>
                <w:rFonts w:hint="default" w:eastAsia="宋体"/>
                <w:highlight w:val="none"/>
                <w:lang w:val="en-US" w:eastAsia="zh-CN"/>
              </w:rPr>
            </w:pP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lang w:val="en-US" w:eastAsia="zh-CN"/>
              </w:rPr>
              <w:t>16</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lang w:val="en-US" w:eastAsia="zh-CN"/>
              </w:rPr>
              <w:t>支持移动端。</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w:t>
            </w:r>
            <w:r>
              <w:rPr>
                <w:rFonts w:hint="eastAsia" w:ascii="宋体" w:hAnsi="宋体" w:cs="宋体"/>
                <w:color w:val="000000"/>
                <w:kern w:val="0"/>
                <w:szCs w:val="21"/>
                <w:highlight w:val="none"/>
                <w:lang w:val="en-US" w:eastAsia="zh-CN"/>
              </w:rPr>
              <w:t>诺飞尔、上海联盈</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二</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安全防范系统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2"/>
                <w:szCs w:val="22"/>
                <w:highlight w:val="none"/>
              </w:rPr>
            </w:pPr>
            <w:r>
              <w:rPr>
                <w:rFonts w:hint="eastAsia" w:ascii="宋体" w:hAnsi="宋体" w:cs="宋体"/>
                <w:kern w:val="0"/>
                <w:sz w:val="22"/>
                <w:szCs w:val="22"/>
                <w:highlight w:val="none"/>
              </w:rPr>
              <w:t>（一）</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视频监控系统前端</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室内防爆半球摄像机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星光级低照度，有效像素不低于400万；支持3D数字降噪</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支持120dB超宽动态；红外补光</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照射距离不低于30米；不锈钢材质设计，双防爆认证；宽电压设计支持用户定制交直流POE供电方式；防护等级IP66；防爆等级ExdIICT6Gb/ExtDA21IP66T80℃。按照学校的要求完成监控及报警信息整合及数据推送工作。可实现远程监控、操控功能。</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海康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防爆枪架</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配套，设备所有管线、线路接头等均做防爆处理。防爆级别：EXdⅡBT4Gb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海康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普通摄像头</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400万，红外，网络，POE</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海康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视频监控主机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网络，24路，4K，可接驳符合ONVIF、RTSP标准及众多主流厂商的网络摄像机；支持GB/T28181-2016、Ehome协议接入平台；支持4K高清网络视频的预览、存储与回放，并实现对房间实现一体化监控。</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海康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监控硬盘</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硬盘容量:8TB硬盘转速:7200转，缓存容量:64MB接口类型:SATA3，能够存储≥3个月以上的视频内容。</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西部数据、希捷、三星</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只</w:t>
            </w:r>
          </w:p>
        </w:tc>
      </w:tr>
      <w:tr>
        <w:tblPrEx>
          <w:tblCellMar>
            <w:top w:w="0" w:type="dxa"/>
            <w:left w:w="108" w:type="dxa"/>
            <w:bottom w:w="0" w:type="dxa"/>
            <w:right w:w="108" w:type="dxa"/>
          </w:tblCellMar>
        </w:tblPrEx>
        <w:trPr>
          <w:trHeight w:val="615"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网络交换机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16口P0E交换机，支持或具备EXTEND模式，传输距离不低于1000米，防雷等级不低于4KV。</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海康、锐捷、华三</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（二）</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入侵报警系统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防爆型双鉴探测器</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入口处设有防爆型入侵报警灯，防爆级别：EXdⅡBT4Gb；出入口设有防爆型双鉴探测器，防爆级别：EXdⅡBT4Gb，符合GB/T32581的相关规定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地址输入输出模块</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防爆级别：EXdⅡBT4Gb，符合GB/T32581的相关规定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报警主机</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防爆级别：EXdⅡBT4Gb，符合GB/T32581的相关规定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报警键盘</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防爆级别：EXdⅡBT4Gb，符合GB/T32581的相关规定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个</w:t>
            </w:r>
          </w:p>
        </w:tc>
      </w:tr>
      <w:tr>
        <w:tblPrEx>
          <w:tblCellMar>
            <w:top w:w="0" w:type="dxa"/>
            <w:left w:w="108" w:type="dxa"/>
            <w:bottom w:w="0" w:type="dxa"/>
            <w:right w:w="108" w:type="dxa"/>
          </w:tblCellMar>
        </w:tblPrEx>
        <w:trPr>
          <w:trHeight w:val="615"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软件</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24路两路控制含软件，入侵报警系统的布防、撤防、故障和报警信息存储时间不小于90天。</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三</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环境智能监测系统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15"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防爆温湿度监测传感器</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防爆级别：</w:t>
            </w:r>
            <w:r>
              <w:rPr>
                <w:rFonts w:cs="Calibri"/>
                <w:color w:val="000000"/>
                <w:kern w:val="0"/>
                <w:szCs w:val="21"/>
                <w:highlight w:val="none"/>
              </w:rPr>
              <w:t>EXd</w:t>
            </w:r>
            <w:r>
              <w:rPr>
                <w:rFonts w:hint="eastAsia" w:ascii="宋体" w:hAnsi="宋体" w:cs="宋体"/>
                <w:color w:val="000000"/>
                <w:kern w:val="0"/>
                <w:szCs w:val="21"/>
                <w:highlight w:val="none"/>
              </w:rPr>
              <w:t>Ⅱ</w:t>
            </w:r>
            <w:r>
              <w:rPr>
                <w:rFonts w:cs="Calibri"/>
                <w:color w:val="000000"/>
                <w:kern w:val="0"/>
                <w:szCs w:val="21"/>
                <w:highlight w:val="none"/>
              </w:rPr>
              <w:t>BT4Gb</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英吉森、多瑞、</w:t>
            </w:r>
            <w:r>
              <w:rPr>
                <w:rFonts w:hint="eastAsia" w:ascii="宋体" w:hAnsi="宋体" w:cs="宋体"/>
                <w:color w:val="000000"/>
                <w:kern w:val="0"/>
                <w:sz w:val="20"/>
                <w:szCs w:val="20"/>
                <w:highlight w:val="none"/>
              </w:rPr>
              <w:t>九纯健</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防爆可燃气体传感器</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防爆级别：</w:t>
            </w:r>
            <w:r>
              <w:rPr>
                <w:rFonts w:cs="Calibri"/>
                <w:color w:val="000000"/>
                <w:kern w:val="0"/>
                <w:szCs w:val="21"/>
                <w:highlight w:val="none"/>
              </w:rPr>
              <w:t>EXd</w:t>
            </w:r>
            <w:r>
              <w:rPr>
                <w:rFonts w:hint="eastAsia" w:ascii="宋体" w:hAnsi="宋体" w:cs="宋体"/>
                <w:color w:val="000000"/>
                <w:kern w:val="0"/>
                <w:szCs w:val="21"/>
                <w:highlight w:val="none"/>
              </w:rPr>
              <w:t>Ⅱ</w:t>
            </w:r>
            <w:r>
              <w:rPr>
                <w:rFonts w:cs="Calibri"/>
                <w:color w:val="000000"/>
                <w:kern w:val="0"/>
                <w:szCs w:val="21"/>
                <w:highlight w:val="none"/>
              </w:rPr>
              <w:t>BT4Gb</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英吉森、多瑞、</w:t>
            </w:r>
            <w:r>
              <w:rPr>
                <w:rFonts w:hint="eastAsia" w:ascii="宋体" w:hAnsi="宋体" w:cs="宋体"/>
                <w:color w:val="000000"/>
                <w:kern w:val="0"/>
                <w:sz w:val="20"/>
                <w:szCs w:val="20"/>
                <w:highlight w:val="none"/>
              </w:rPr>
              <w:t>九纯健</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防爆火焰探测器</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防爆级别：</w:t>
            </w:r>
            <w:r>
              <w:rPr>
                <w:rFonts w:cs="Calibri"/>
                <w:color w:val="000000"/>
                <w:kern w:val="0"/>
                <w:szCs w:val="21"/>
                <w:highlight w:val="none"/>
              </w:rPr>
              <w:t>EXd</w:t>
            </w:r>
            <w:r>
              <w:rPr>
                <w:rFonts w:hint="eastAsia" w:ascii="宋体" w:hAnsi="宋体" w:cs="宋体"/>
                <w:color w:val="000000"/>
                <w:kern w:val="0"/>
                <w:szCs w:val="21"/>
                <w:highlight w:val="none"/>
              </w:rPr>
              <w:t>Ⅱ</w:t>
            </w:r>
            <w:r>
              <w:rPr>
                <w:rFonts w:cs="Calibri"/>
                <w:color w:val="000000"/>
                <w:kern w:val="0"/>
                <w:szCs w:val="21"/>
                <w:highlight w:val="none"/>
              </w:rPr>
              <w:t>BT4Gb</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英吉森、多瑞、</w:t>
            </w:r>
            <w:r>
              <w:rPr>
                <w:rFonts w:hint="eastAsia" w:ascii="宋体" w:hAnsi="宋体" w:cs="宋体"/>
                <w:color w:val="000000"/>
                <w:kern w:val="0"/>
                <w:sz w:val="20"/>
                <w:szCs w:val="20"/>
                <w:highlight w:val="none"/>
              </w:rPr>
              <w:t>九纯健</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防爆声光报警灯</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防爆级别：</w:t>
            </w:r>
            <w:r>
              <w:rPr>
                <w:rFonts w:cs="Calibri"/>
                <w:color w:val="000000"/>
                <w:kern w:val="0"/>
                <w:szCs w:val="21"/>
                <w:highlight w:val="none"/>
              </w:rPr>
              <w:t>EXd</w:t>
            </w:r>
            <w:r>
              <w:rPr>
                <w:rFonts w:hint="eastAsia" w:ascii="宋体" w:hAnsi="宋体" w:cs="宋体"/>
                <w:color w:val="000000"/>
                <w:kern w:val="0"/>
                <w:szCs w:val="21"/>
                <w:highlight w:val="none"/>
              </w:rPr>
              <w:t>Ⅱ</w:t>
            </w:r>
            <w:r>
              <w:rPr>
                <w:rFonts w:cs="Calibri"/>
                <w:color w:val="000000"/>
                <w:kern w:val="0"/>
                <w:szCs w:val="21"/>
                <w:highlight w:val="none"/>
              </w:rPr>
              <w:t>BT4Gb</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环境监控主机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配有7英寸彩色液晶屏，通过屏幕可直观显示室内温度、湿度、有害气体浓度等核心参数；主机自带带声控报警。具备功能要求如下：在线监测：具备TVOC监测、温湿度监测功能，超标时可声光报警，并联动风机及时启动排风消除潜在隐患。</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远程报警：当参数超标时可远程推送报警信息至用户及管理部门手机。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2.远程控制：用户可通过手机实时查看运行参数，紧急情况下可远程控制该安全柜系统。</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3.定时排风：可定时开启/关闭风机。</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英吉森、多瑞、</w:t>
            </w:r>
            <w:r>
              <w:rPr>
                <w:rFonts w:hint="eastAsia" w:ascii="宋体" w:hAnsi="宋体" w:cs="宋体"/>
                <w:color w:val="000000"/>
                <w:kern w:val="0"/>
                <w:sz w:val="20"/>
                <w:szCs w:val="20"/>
                <w:highlight w:val="none"/>
              </w:rPr>
              <w:t>九纯健</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四</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防爆电气系统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人体静电释放球</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材质不锈钢；球体直径：约100mm；球壁厚：≥1.5mm；产品总高：≥110CM；接地线长度：≥3m，带语音提示功能。</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color w:val="auto"/>
                <w:kern w:val="0"/>
                <w:sz w:val="22"/>
                <w:szCs w:val="22"/>
                <w:highlight w:val="none"/>
                <w:lang w:val="en-US" w:eastAsia="zh-CN"/>
              </w:rPr>
              <w:t>防爆控制箱</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尺寸：W600*D220*H800mm，采用隔爆型直接引入结构，并配有防爆型填料函进行填料密封，控制箱内装有显示屏、指示灯、电路板，控制箱体前端有观察窗和按钮，集成控制箱的防爆检测项目（包含但不限于：1.结构检查；2.外壳耐压试验；3.内部点燃的不传爆试验；4.抗冲击试验；5.温度测定；6.热剧变试验）须全部合格；产品执行标准：GB3836.1-2010、GB3836.2-2010</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GB12476.1-2013</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GB12476.5-2013</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防爆级别为EXdⅡBT6Gb。（▲响应文件须提供具备防爆电气检测资质的第三方检测机构出具的防爆智能集成控制箱整体检测报告及防爆合格证并加盖原厂公章。）</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防爆开关</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执行标准：GB3836.1、GB3836.2，防爆标志：ExedIIBT6，额定电压：AC220V、AC380V；</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防爆照明灯</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执行标准：GB3836.1、GB3836.2，防爆标志：ExdIIBT5，额定电压：AC220V/150W，试剂库各个区域的照度≥100lx。</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盏</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防爆紧急疏散一体灯</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从额定电压:AC220V/50HZ;防爆标志:EXdIICT6；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盏</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弱电箱</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等电位箱</w:t>
            </w:r>
          </w:p>
        </w:tc>
        <w:tc>
          <w:tcPr>
            <w:tcW w:w="6095" w:type="dxa"/>
            <w:tcBorders>
              <w:top w:val="nil"/>
              <w:left w:val="nil"/>
              <w:bottom w:val="single" w:color="auto" w:sz="4" w:space="0"/>
              <w:right w:val="single" w:color="auto" w:sz="4" w:space="0"/>
            </w:tcBorders>
            <w:shd w:val="clear" w:color="000000" w:fill="FFFFFF"/>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1344"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接地母线</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扁钢离地≥300毫米，离墙≥30毫米，沿内墙四周安装，扁钢尺寸≥30毫米宽，厚度≥4.0毫米。</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110</w:t>
            </w:r>
          </w:p>
        </w:tc>
        <w:tc>
          <w:tcPr>
            <w:tcW w:w="56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米</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8</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电线电缆</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电路管线均使用DN25mm的镀锌防爆管路走线，连接处采用防爆接头，管路连接处安装符合GB50517-2010标准。防爆电器设备的安装、维护、检测等满足《防爆电器设计、安装、维护、检测与安全技术标准规范实用手册》的要求。根据《建筑物防雷设计规范》GB50057，接室外人工接地极，接地电阻≤5欧姆，项目实施人员需经过专业培训，且具备特种工程、机电安装或强弱电专业相关个人资格证书。</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批</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五</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通风系统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手动阀</w:t>
            </w:r>
          </w:p>
        </w:tc>
        <w:tc>
          <w:tcPr>
            <w:tcW w:w="609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φ160</w:t>
            </w:r>
          </w:p>
        </w:tc>
        <w:tc>
          <w:tcPr>
            <w:tcW w:w="113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10</w:t>
            </w:r>
          </w:p>
        </w:tc>
        <w:tc>
          <w:tcPr>
            <w:tcW w:w="56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防爆离心风机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风机风量：1778-3276m³/h，风压：1183-745Pa，功率：1.1kW/380V，具有风机电流过载保护装置，防爆级别：EXdⅡCT4Gb，另配备消音管两套。</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消声管</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定制</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排风管路</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通风管道采用阻燃PP圆管，PP管材颜色均为瓷白色，所使用的PP板材具有阻燃功能，PP板阻燃级别达到V-0等级，依据GB/T24282-2021进行二甲苯可溶物含量检测，依据GB/T38286-2019进行过氧化值的测定，（响应文件须提供具有CMA或CNAS认证标志的第三方检测机构出具的PP板材检测报告复印件加盖投标人公章，报告须同时满足以上参数中的阻燃级别、二甲苯可溶物含量和过氧化氢值的测定检测要求，报告能通过报告上的二维码或者检测机构网址查询，现场查验真伪，投标需提供国家市场监督管理总局官网针对提供的检验检测报告编号查询结果及查询截图，未提供或提供不满足要求视为负偏离）。排风控制系统：可满足时控排风控制、VOC监测联动控制、温湿度监测联动控制等功能。配套安装及辅材：符合GB50243-2016《通风与空调工程施工质量验收规范》。</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风管支吊架</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定制</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批</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防爆排风扇</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风机风量：</w:t>
            </w:r>
            <w:r>
              <w:rPr>
                <w:rFonts w:cs="Calibri"/>
                <w:color w:val="000000"/>
                <w:kern w:val="0"/>
                <w:szCs w:val="21"/>
                <w:highlight w:val="none"/>
              </w:rPr>
              <w:t>1260m³/h</w:t>
            </w:r>
            <w:r>
              <w:rPr>
                <w:rFonts w:hint="eastAsia" w:ascii="宋体" w:hAnsi="宋体" w:cs="宋体"/>
                <w:color w:val="000000"/>
                <w:kern w:val="0"/>
                <w:szCs w:val="21"/>
                <w:highlight w:val="none"/>
              </w:rPr>
              <w:t>功率：</w:t>
            </w:r>
            <w:r>
              <w:rPr>
                <w:rFonts w:cs="Calibri"/>
                <w:color w:val="000000"/>
                <w:kern w:val="0"/>
                <w:szCs w:val="21"/>
                <w:highlight w:val="none"/>
              </w:rPr>
              <w:t>0.105kW/220V</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7</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防爆排风扇</w:t>
            </w:r>
          </w:p>
        </w:tc>
        <w:tc>
          <w:tcPr>
            <w:tcW w:w="6095"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highlight w:val="none"/>
              </w:rPr>
            </w:pPr>
            <w:r>
              <w:rPr>
                <w:rFonts w:hint="eastAsia" w:ascii="宋体" w:hAnsi="宋体" w:cs="宋体"/>
                <w:color w:val="000000"/>
                <w:kern w:val="0"/>
                <w:szCs w:val="21"/>
                <w:highlight w:val="none"/>
              </w:rPr>
              <w:t>风机风量：</w:t>
            </w:r>
            <w:r>
              <w:rPr>
                <w:rFonts w:cs="Calibri"/>
                <w:color w:val="000000"/>
                <w:kern w:val="0"/>
                <w:szCs w:val="21"/>
                <w:highlight w:val="none"/>
              </w:rPr>
              <w:t>760m³/h</w:t>
            </w:r>
            <w:r>
              <w:rPr>
                <w:rFonts w:hint="eastAsia" w:ascii="宋体" w:hAnsi="宋体" w:cs="宋体"/>
                <w:color w:val="000000"/>
                <w:kern w:val="0"/>
                <w:szCs w:val="21"/>
                <w:highlight w:val="none"/>
              </w:rPr>
              <w:t>功率：</w:t>
            </w:r>
            <w:r>
              <w:rPr>
                <w:rFonts w:cs="Calibri"/>
                <w:color w:val="000000"/>
                <w:kern w:val="0"/>
                <w:szCs w:val="21"/>
                <w:highlight w:val="none"/>
              </w:rPr>
              <w:t>0.09kW/220V</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六</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温湿度控制系统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防爆空调</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功率不小于1.5P，防爆级别：EXdⅡBT4Gb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格力、海信、三禾</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防爆空调</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功率不小于1P，EXdⅡBT4Gb；确保在夏季高温极端环境下，室内温度不高于35℃；在冬季极端气候下，确保室内温度控制适宜。防护等级进风口不低于IP20、出风口不低于IP10。产品符合Q/SH003-2010要求，安装布线时应符合GB3836.15-2000的规定。风叶与静止部件的轴向、径向距离均不小于5mm.铭牌、防爆标注牌固定在主机明显位置。防爆空调外机有碳钢网栏进行外围防护，提高安全系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格力、海信、三禾</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普通壁挂空调</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功率：1.5P，确保室内温度控制适宜。</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格力、海信、美的</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七</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自动灭火系统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超细粉自动灭火器</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试剂间配有悬挂式充装容量为4公斤的超细粉自动灭火装置（含吊装支架）。当试剂库温度超过68℃，会自动启动喷洒超细粉进行灭火。</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建安、洪湖、绿消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石棉灭火毯</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1500*1500mm</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建安、洪湖、扬龙</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条</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灭火器</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手持式干粉灭火器：4公斤装手持式干粉</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建安、洪湖、绿消</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沙箱</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标准</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紧急喷淋洗眼器</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管件采用插拔式的连接方式，进排水口能够在安装时达到360度任意定位，冲淋和洗眼也能够在安装时任意选用角度；主体、底座、冲淋阀、洗眼阀、冲淋头、洗眼盆、拉手、推手和脚踏等部件均采用卫生级304不锈钢无缝钢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埃德伯格、铭泽、中领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应急器材柜</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（1）应急器材柜（1台）：规格H1800×W600×D350mm</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钢制柜体，钢板厚度1.0mm，带玻璃对开门。产品分为化学品应急套装、急救药箱、个人防护用品、消防器材等4个储存单元。</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化学泄漏处置套装（1套）：吸附条2条（1200*80mm/条），吸附棉片20片（400*250mm/片），吸附剂1瓶（1.3L/瓶），防护围裙1件，防护眼镜1付，半面罩呼吸器1套，防护手套1双，防护靴套1双，清理工具1套（清扫刷+小簸箕），夹钳1个，废物处理袋1个（70*50cm/个），捆扎条2根，急救包1套。</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急救药箱（1套）：医用纱布块（大号）10cm×10cm-8层10片，急救毯160cm×210cm1块，医用弹性绷带8cm×400cm2，卷呼吸面罩20cm×20cm1个，创可7.2cm×1.9cm20片，圆头剪刀15cm1把，医用透气胶带1.25cm×450cm1卷，敷料镊子1.5cm、塑料1个，碘伏消毒液20支，安全别针10枚/包10枚，医用敷贴（中号）10cm×10cm2片，高频救生哨1个，弹力帽9号1个，急救手册1本，三角绷带96cm×96cm×136cm1包，售后服务卡1张，卡扣式止血带2.5cm×40cm1个，外箱1个，瞬冷冰袋160g1袋，医用酒精棉片6cm×3cm10片。</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（4）个人防护物资：3M防护服：2件</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rPr>
              <w:t>一次性丁晴橡胶手套1盒/套，霍尼韦尔防化手套：（氯丁腈）2副/套，霍尼韦尔防化靴：2双/套，应急逃生锤：1个，灭火毯：2条，3M护目镜：2只，酸中和剂</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（碳酸氢钠）：1瓶/套，PH试纸：1套，废物处理袋：2个。</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埃德伯格、铭泽、中领</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八</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其他</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登记台</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规格尺寸：不小于H800*W1000*D600mm；整体材质柜体：采用不低于8mm瓷白色贴膜PP（聚丙烯）板制作，具有卓越的耐腐蚀性，经同色焊条无缝焊接处理，保证柜体之坚固及密封性；柜门：采用不低于8mm瓷白色贴膜PP（聚丙烯）整板制作，使用寿命长，质量有保证；台面：采用实芯理化板台面；配件参数，桥式把手：采用耐酸碱PP（聚丙烯）材质，耐腐蚀性能好；铰链：采用经射出成型的PP（聚丙烯）材料制成，耐腐蚀性能好；专用门吸：采用PP（聚丙烯）材料制成；有警示标签；</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国产</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个</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标识标牌</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含警示类标牌标贴：警戒隔离线（≥7m）：黄黑警示贴，带反光，宽度≥50mm；配伍禁忌警示牌（1批）：厚度：0.5mm，材质使用优质PVC，磨砂表面，要求防水防晒，耐高温，耐腐蚀，尺寸不小于650mm×500mm（h×w）张贴在试剂储存区。试剂库安全信息牌（1块）：不小于W350×H270mm，铝合金边框，亚克力面板，信息可更换</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定制</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套</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3</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管理电脑</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hint="default" w:ascii="宋体" w:hAnsi="宋体" w:eastAsia="宋体" w:cs="宋体"/>
                <w:color w:val="000000"/>
                <w:kern w:val="0"/>
                <w:sz w:val="22"/>
                <w:szCs w:val="22"/>
                <w:highlight w:val="none"/>
                <w:lang w:val="en-US" w:eastAsia="zh-CN"/>
              </w:rPr>
            </w:pPr>
            <w:r>
              <w:rPr>
                <w:rFonts w:hint="default" w:ascii="宋体" w:hAnsi="宋体" w:eastAsia="宋体" w:cs="宋体"/>
                <w:color w:val="000000"/>
                <w:kern w:val="0"/>
                <w:sz w:val="22"/>
                <w:szCs w:val="22"/>
                <w:highlight w:val="none"/>
                <w:lang w:val="en-US" w:eastAsia="zh-CN"/>
              </w:rPr>
              <w:t>酷睿13代i5-13400 16G 1T+512G SSD</w:t>
            </w:r>
            <w:r>
              <w:rPr>
                <w:rFonts w:hint="eastAsia" w:ascii="宋体" w:hAnsi="宋体" w:cs="宋体"/>
                <w:color w:val="000000"/>
                <w:kern w:val="0"/>
                <w:sz w:val="22"/>
                <w:szCs w:val="22"/>
                <w:highlight w:val="none"/>
                <w:lang w:val="en-US" w:eastAsia="zh-CN"/>
              </w:rPr>
              <w:t xml:space="preserve"> </w:t>
            </w:r>
            <w:r>
              <w:rPr>
                <w:rFonts w:hint="default" w:ascii="宋体" w:hAnsi="宋体" w:eastAsia="宋体" w:cs="宋体"/>
                <w:color w:val="000000"/>
                <w:kern w:val="0"/>
                <w:sz w:val="22"/>
                <w:szCs w:val="22"/>
                <w:highlight w:val="none"/>
                <w:lang w:val="en-US" w:eastAsia="zh-CN"/>
              </w:rPr>
              <w:t>23英寸</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联想</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4</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交换机</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hint="default"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24口千兆网口+2个光口，非网管</w:t>
            </w:r>
          </w:p>
        </w:tc>
        <w:tc>
          <w:tcPr>
            <w:tcW w:w="1134" w:type="dxa"/>
            <w:tcBorders>
              <w:top w:val="nil"/>
              <w:left w:val="nil"/>
              <w:bottom w:val="single" w:color="auto" w:sz="4" w:space="0"/>
              <w:right w:val="single" w:color="auto" w:sz="4" w:space="0"/>
            </w:tcBorders>
            <w:shd w:val="clear" w:color="auto" w:fill="auto"/>
            <w:vAlign w:val="center"/>
          </w:tcPr>
          <w:p>
            <w:pPr>
              <w:widowControl/>
              <w:jc w:val="both"/>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锐捷、华三、华为</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highlight w:val="none"/>
                <w:lang w:val="en-US" w:eastAsia="zh-CN"/>
              </w:rPr>
            </w:pPr>
            <w:r>
              <w:rPr>
                <w:rFonts w:hint="eastAsia" w:ascii="宋体" w:hAnsi="宋体" w:cs="宋体"/>
                <w:color w:val="000000"/>
                <w:kern w:val="0"/>
                <w:sz w:val="22"/>
                <w:szCs w:val="22"/>
                <w:highlight w:val="none"/>
                <w:lang w:val="en-US" w:eastAsia="zh-CN"/>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台</w:t>
            </w:r>
          </w:p>
        </w:tc>
      </w:tr>
      <w:tr>
        <w:tblPrEx>
          <w:tblCellMar>
            <w:top w:w="0" w:type="dxa"/>
            <w:left w:w="108" w:type="dxa"/>
            <w:bottom w:w="0" w:type="dxa"/>
            <w:right w:w="108" w:type="dxa"/>
          </w:tblCellMar>
        </w:tblPrEx>
        <w:trPr>
          <w:trHeight w:val="600" w:hRule="atLeast"/>
        </w:trPr>
        <w:tc>
          <w:tcPr>
            <w:tcW w:w="844" w:type="dxa"/>
            <w:tcBorders>
              <w:top w:val="nil"/>
              <w:left w:val="single" w:color="auto" w:sz="4" w:space="0"/>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九</w:t>
            </w:r>
          </w:p>
        </w:tc>
        <w:tc>
          <w:tcPr>
            <w:tcW w:w="1344"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宣传系统</w:t>
            </w:r>
          </w:p>
        </w:tc>
        <w:tc>
          <w:tcPr>
            <w:tcW w:w="6095"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1134" w:type="dxa"/>
            <w:tcBorders>
              <w:top w:val="nil"/>
              <w:left w:val="nil"/>
              <w:bottom w:val="single" w:color="auto" w:sz="4" w:space="0"/>
              <w:right w:val="single" w:color="auto" w:sz="4" w:space="0"/>
            </w:tcBorders>
            <w:shd w:val="clear" w:color="000000" w:fill="FABF8F"/>
            <w:vAlign w:val="center"/>
          </w:tcPr>
          <w:p>
            <w:pPr>
              <w:widowControl/>
              <w:jc w:val="center"/>
              <w:rPr>
                <w:rFonts w:cs="Calibri"/>
                <w:color w:val="000000"/>
                <w:kern w:val="0"/>
                <w:szCs w:val="21"/>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c>
          <w:tcPr>
            <w:tcW w:w="567" w:type="dxa"/>
            <w:tcBorders>
              <w:top w:val="nil"/>
              <w:left w:val="nil"/>
              <w:bottom w:val="single" w:color="auto" w:sz="4" w:space="0"/>
              <w:right w:val="single" w:color="auto" w:sz="4" w:space="0"/>
            </w:tcBorders>
            <w:shd w:val="clear" w:color="000000" w:fill="FABF8F"/>
            <w:vAlign w:val="center"/>
          </w:tcPr>
          <w:p>
            <w:pPr>
              <w:widowControl/>
              <w:jc w:val="center"/>
              <w:rPr>
                <w:rFonts w:ascii="宋体" w:hAnsi="宋体" w:cs="宋体"/>
                <w:b/>
                <w:bCs/>
                <w:kern w:val="0"/>
                <w:sz w:val="22"/>
                <w:szCs w:val="22"/>
                <w:highlight w:val="none"/>
              </w:rPr>
            </w:pPr>
          </w:p>
        </w:tc>
      </w:tr>
      <w:tr>
        <w:tblPrEx>
          <w:tblCellMar>
            <w:top w:w="0" w:type="dxa"/>
            <w:left w:w="108" w:type="dxa"/>
            <w:bottom w:w="0" w:type="dxa"/>
            <w:right w:w="108" w:type="dxa"/>
          </w:tblCellMar>
        </w:tblPrEx>
        <w:trPr>
          <w:trHeight w:val="102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3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触控一体机</w:t>
            </w:r>
          </w:p>
        </w:tc>
        <w:tc>
          <w:tcPr>
            <w:tcW w:w="6095" w:type="dxa"/>
            <w:tcBorders>
              <w:top w:val="nil"/>
              <w:left w:val="nil"/>
              <w:bottom w:val="single" w:color="auto" w:sz="4" w:space="0"/>
              <w:right w:val="single" w:color="auto" w:sz="4" w:space="0"/>
            </w:tcBorders>
            <w:shd w:val="clear" w:color="auto" w:fill="auto"/>
            <w:vAlign w:val="center"/>
          </w:tcPr>
          <w:p>
            <w:pPr>
              <w:widowControl/>
              <w:numPr>
                <w:ilvl w:val="0"/>
                <w:numId w:val="3"/>
              </w:numPr>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★智能交互平板显示尺寸≧75英寸，分辨率：3840*2160，采用红外触控技术，在双系统下均支持20点同时触控及书写（提供权威检测机构所出具的检测报告复印件并加盖厂家公章）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2.智能交互平板显示部分需采用高色彩覆盖技术，NTSC色域标准下覆盖率不低于85%</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设备采用物理减滤蓝光设计，无需其他的多余按键操作即可实现防蓝光，且设备具备智能护眼组合功能，可直接提供护眼模式、实现智能光控、以及书写时屏显自动变暗，有效保护用师生用眼健康，通过扫描设备自带的二维码可获取检测机构的认证信息。</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智能平板左右两侧可提供与教学应用密切相关的快捷键，数量各不少于15个，该快捷键至少具有关闭窗口，展台，桌面、多屏互动等常教学常用按键，快捷键可根据需要设置自动隐藏时间、极简模式、单/双侧显示等各种显示模式。（提供国家权威检测机构所出具的权威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5.★为方便外接信号源的输入以及满足数据的高速传输需求，设备至少1路前置HDMI接口（非转接）及3路前置USB3.0接口。（提供权威检测机构所出具的检测报告复印件并加盖厂家公章）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为方便用户进行各类设置和操作，设备前置按键不少于8个，可快速进行音量加减、窗口关闭、触控开关等功能的设置和调用，且均具备同一个按键实现不少于两种功能。（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7.★无需打开智能平板背板，前置接口面板和前置按键面板支持单独前拆，</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8.为不同身高的用户能方便的使用设备，智能交互平板在屏幕任意位置进行手势操作可实现屏幕下移的功能，Windows窗口整体下移，下移后的画面依旧可以实现触控点击、文件打开等教学操作。（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9.智能交互平板Android主板具备四核CPU，内存不小于2G，Android系统不低于11.0，主页提供不少于5个应用程序，也可替代其他应用程序;（提供权威检测机构所出具的检测报告复印件并加盖厂家公章）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10.通过多指滑动屏幕，可快速实现Windows与教学系统界面的切换</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11.支持在windows系统下对网络、系统、书写批注、音量调节等进行设置后，在Android系统下实现对应设置，无需重复设置；也支持在Android系统下对网络、系统、书写批注、音量调节等进行设置后，在windows系统下实现对应设置，无需重复设置；</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12.★智能交互平板具有悬浮菜单，两指可快速移动悬浮菜单至按压位置，悬浮菜单可进行自定义分组，可添加Windows和Android系统下的互动教学工具、书写白板、系统设置、AI互动软件等应用；（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13.无需借助PC，整机可一键进行硬件自检，包括对系统内存、存储、触控系统、内置电脑、屏温、光感系统等进行状态提示、及故障提示。</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14.★智能平板具备前置电脑还原按键，不需专业人员即可轻松解决电脑系统故障，为避免误碰按键采用针孔式设计，并有配有中文标识（提供权威检测机构所出具的检测报告复印件并加盖厂家公章）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15.为防止推拉黑板滑动造成U盘损坏，前置U盘接口采用隐藏式设计，具有翻转式防护盖板，高度不少于4cm</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16.一体化2D降噪4K摄像头，支持1300W有效像素的视频采集，视角在120°的范围下，畸变不大于5%（提供权威检测机构所出具的检测报告复印件并加盖厂家公章）</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17.本地安卓白板软件具备面积识别功能，通过接触交互设备的面积大小实现智能擦除、粗细笔迹书写</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18.通过五指抓取屏幕任意位置可调出多任务处理窗口，并对正在运行的应用进行浏览、快速切换或结束进程</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19.★整机采用OPS-C标准的80pin针口设计，方便用户后续自主升级维护或对接第三方智慧教室类插拔电脑产品</w:t>
            </w:r>
          </w:p>
          <w:p>
            <w:pPr>
              <w:pStyle w:val="2"/>
              <w:numPr>
                <w:ilvl w:val="0"/>
                <w:numId w:val="0"/>
              </w:numPr>
              <w:rPr>
                <w:rFonts w:hint="default" w:eastAsia="宋体"/>
                <w:highlight w:val="none"/>
                <w:lang w:val="en-US" w:eastAsia="zh-CN"/>
              </w:rPr>
            </w:pPr>
            <w:r>
              <w:rPr>
                <w:rFonts w:hint="eastAsia" w:ascii="宋体" w:hAnsi="宋体" w:eastAsia="宋体" w:cs="宋体"/>
                <w:color w:val="000000"/>
                <w:kern w:val="0"/>
                <w:sz w:val="22"/>
                <w:szCs w:val="22"/>
                <w:highlight w:val="none"/>
                <w:lang w:val="en-US" w:eastAsia="zh-CN" w:bidi="ar-SA"/>
              </w:rPr>
              <w:t>20.</w:t>
            </w:r>
            <w:r>
              <w:rPr>
                <w:rFonts w:hint="eastAsia" w:ascii="宋体" w:hAnsi="宋体" w:eastAsia="宋体" w:cs="宋体"/>
                <w:bCs/>
                <w:kern w:val="2"/>
                <w:sz w:val="22"/>
                <w:szCs w:val="22"/>
                <w:highlight w:val="none"/>
                <w:lang w:val="en-US" w:eastAsia="zh-CN" w:bidi="ar-SA"/>
              </w:rPr>
              <w:t>将危化品存储和台帐情况实时同步高清显示出来，如：品名、种类、数量、厂家、生产日期、寿命、借出、还入、报废等信息，</w:t>
            </w:r>
            <w:r>
              <w:rPr>
                <w:rFonts w:hint="eastAsia" w:ascii="宋体" w:hAnsi="宋体" w:cs="宋体"/>
                <w:bCs/>
                <w:kern w:val="2"/>
                <w:sz w:val="22"/>
                <w:szCs w:val="22"/>
                <w:highlight w:val="none"/>
                <w:lang w:val="en-US" w:eastAsia="zh-CN" w:bidi="ar-SA"/>
              </w:rPr>
              <w:t>和各类环境监测情况，如中转库的温湿度、可燃气体、火焰探测等，</w:t>
            </w:r>
            <w:r>
              <w:rPr>
                <w:rFonts w:hint="eastAsia" w:ascii="宋体" w:hAnsi="宋体" w:eastAsia="宋体" w:cs="宋体"/>
                <w:bCs/>
                <w:kern w:val="2"/>
                <w:sz w:val="22"/>
                <w:szCs w:val="22"/>
                <w:highlight w:val="none"/>
                <w:lang w:val="en-US" w:eastAsia="zh-CN" w:bidi="ar-SA"/>
              </w:rPr>
              <w:t>做到一目了然，</w:t>
            </w:r>
            <w:r>
              <w:rPr>
                <w:rFonts w:hint="eastAsia" w:ascii="宋体" w:hAnsi="宋体" w:cs="宋体"/>
                <w:bCs/>
                <w:kern w:val="2"/>
                <w:sz w:val="22"/>
                <w:szCs w:val="22"/>
                <w:highlight w:val="none"/>
                <w:lang w:val="en-US" w:eastAsia="zh-CN" w:bidi="ar-SA"/>
              </w:rPr>
              <w:t>减少进入库内实地的风险，</w:t>
            </w:r>
            <w:r>
              <w:rPr>
                <w:rFonts w:hint="eastAsia" w:ascii="宋体" w:hAnsi="宋体" w:eastAsia="宋体" w:cs="宋体"/>
                <w:bCs/>
                <w:kern w:val="2"/>
                <w:sz w:val="22"/>
                <w:szCs w:val="22"/>
                <w:highlight w:val="none"/>
                <w:lang w:val="en-US" w:eastAsia="zh-CN" w:bidi="ar-SA"/>
              </w:rPr>
              <w:t>方便各级领导检查</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鸿合、希沃、欧帝</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套</w:t>
            </w:r>
          </w:p>
        </w:tc>
      </w:tr>
      <w:tr>
        <w:tblPrEx>
          <w:tblCellMar>
            <w:top w:w="0" w:type="dxa"/>
            <w:left w:w="108" w:type="dxa"/>
            <w:bottom w:w="0" w:type="dxa"/>
            <w:right w:w="108" w:type="dxa"/>
          </w:tblCellMar>
        </w:tblPrEx>
        <w:trPr>
          <w:trHeight w:val="700" w:hRule="atLeast"/>
        </w:trPr>
        <w:tc>
          <w:tcPr>
            <w:tcW w:w="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3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扩声系统</w:t>
            </w:r>
          </w:p>
        </w:tc>
        <w:tc>
          <w:tcPr>
            <w:tcW w:w="609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1、音频输入：模拟输入（接头为RCA接头）；支持蓝牙输入；支持无线麦克风输入（提供国家认可的第三方检测机构出具的检测报告复印件）</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★2、声压级：1M处最大声压级不低于80dB，3M处最大声压级不低于75dB（提供国家认可的第三方检测机构出具的检测报告复印件）</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★3、指向性：将测试探头置于设备正前方2m处，分别往左右两个方向调整设备反射角度，使声压级降低10dB的两个方向的夹角≤30︒；（提供国家认可的第三方检测机构出具的检测报告复印件）</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4、麦克风：麦克风对频，且距离整机距离低于1M可成功对频</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5、麦克风充满电后，连续工作时间不低于3±0.5H，（提供国家认可的第三方检测机构出具的检测报告复印件）</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6、无线最大传输距离不低于10M</w:t>
            </w:r>
            <w:r>
              <w:rPr>
                <w:rFonts w:hint="eastAsia" w:ascii="宋体" w:hAnsi="宋体" w:cs="宋体"/>
                <w:color w:val="000000"/>
                <w:kern w:val="0"/>
                <w:sz w:val="22"/>
                <w:szCs w:val="22"/>
                <w:highlight w:val="none"/>
              </w:rPr>
              <w:br w:type="textWrapping"/>
            </w:r>
            <w:r>
              <w:rPr>
                <w:rFonts w:hint="eastAsia" w:ascii="宋体" w:hAnsi="宋体" w:cs="宋体"/>
                <w:color w:val="000000"/>
                <w:kern w:val="0"/>
                <w:sz w:val="22"/>
                <w:szCs w:val="22"/>
                <w:highlight w:val="none"/>
              </w:rPr>
              <w:t>7、开机时间≤8S（提供国家认可的第三方检测机构出具的检测报告复印件）</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德瑞、清听、安哲</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套</w:t>
            </w:r>
          </w:p>
        </w:tc>
      </w:tr>
    </w:tbl>
    <w:p>
      <w:pPr>
        <w:pStyle w:val="2"/>
        <w:rPr>
          <w:rFonts w:ascii="宋体" w:hAnsi="宋体" w:cs="宋体"/>
          <w:b/>
          <w:bCs/>
          <w:szCs w:val="21"/>
          <w:highlight w:val="none"/>
        </w:rPr>
      </w:pPr>
    </w:p>
    <w:p>
      <w:pPr>
        <w:pStyle w:val="2"/>
        <w:rPr>
          <w:b/>
          <w:bCs/>
          <w:szCs w:val="21"/>
          <w:highlight w:val="none"/>
        </w:rPr>
      </w:pPr>
      <w:r>
        <w:rPr>
          <w:rFonts w:hint="eastAsia" w:ascii="宋体" w:hAnsi="宋体" w:cs="宋体"/>
          <w:b/>
          <w:bCs/>
          <w:szCs w:val="21"/>
          <w:highlight w:val="none"/>
        </w:rPr>
        <w:t>备注：标</w:t>
      </w:r>
      <w:r>
        <w:rPr>
          <w:rStyle w:val="28"/>
          <w:rFonts w:hint="eastAsia" w:ascii="宋体" w:hAnsi="宋体" w:cs="宋体"/>
          <w:b/>
          <w:bCs/>
          <w:color w:val="000000"/>
          <w:kern w:val="0"/>
          <w:szCs w:val="21"/>
          <w:highlight w:val="none"/>
        </w:rPr>
        <w:t>“</w:t>
      </w:r>
      <w:r>
        <w:rPr>
          <w:rFonts w:hint="eastAsia" w:ascii="宋体" w:hAnsi="宋体" w:cs="宋体"/>
          <w:b/>
          <w:bCs/>
          <w:szCs w:val="21"/>
          <w:highlight w:val="none"/>
        </w:rPr>
        <w:t>★和</w:t>
      </w:r>
      <w:r>
        <w:rPr>
          <w:rStyle w:val="28"/>
          <w:rFonts w:hint="eastAsia" w:ascii="宋体" w:hAnsi="宋体" w:cs="宋体"/>
          <w:b/>
          <w:bCs/>
          <w:color w:val="000000"/>
          <w:kern w:val="0"/>
          <w:szCs w:val="21"/>
          <w:highlight w:val="none"/>
        </w:rPr>
        <w:t>▲”的为重要参数，不满足扣分</w:t>
      </w:r>
    </w:p>
    <w:p>
      <w:pPr>
        <w:rPr>
          <w:highlight w:val="none"/>
        </w:rPr>
      </w:pPr>
      <w:r>
        <w:rPr>
          <w:highlight w:val="none"/>
        </w:rPr>
        <w:br w:type="page"/>
      </w:r>
    </w:p>
    <w:p>
      <w:pPr>
        <w:rPr>
          <w:b/>
          <w:bCs/>
          <w:sz w:val="28"/>
          <w:szCs w:val="28"/>
          <w:highlight w:val="none"/>
        </w:rPr>
      </w:pPr>
      <w:r>
        <w:rPr>
          <w:rFonts w:hint="eastAsia"/>
          <w:b/>
          <w:bCs/>
          <w:sz w:val="28"/>
          <w:szCs w:val="28"/>
          <w:highlight w:val="none"/>
          <w:lang w:eastAsia="zh-CN"/>
        </w:rPr>
        <w:t>（</w:t>
      </w:r>
      <w:r>
        <w:rPr>
          <w:rFonts w:hint="eastAsia"/>
          <w:b/>
          <w:bCs/>
          <w:sz w:val="28"/>
          <w:szCs w:val="28"/>
          <w:highlight w:val="none"/>
          <w:lang w:val="en-US" w:eastAsia="zh-CN"/>
        </w:rPr>
        <w:t>二</w:t>
      </w:r>
      <w:r>
        <w:rPr>
          <w:rFonts w:hint="eastAsia"/>
          <w:b/>
          <w:bCs/>
          <w:sz w:val="28"/>
          <w:szCs w:val="28"/>
          <w:highlight w:val="none"/>
          <w:lang w:eastAsia="zh-CN"/>
        </w:rPr>
        <w:t>）</w:t>
      </w:r>
      <w:r>
        <w:rPr>
          <w:rFonts w:hint="eastAsia"/>
          <w:b/>
          <w:bCs/>
          <w:sz w:val="28"/>
          <w:szCs w:val="28"/>
          <w:highlight w:val="none"/>
        </w:rPr>
        <w:t>配套设计图纸</w:t>
      </w:r>
    </w:p>
    <w:p>
      <w:pPr>
        <w:spacing w:line="360" w:lineRule="auto"/>
        <w:rPr>
          <w:highlight w:val="none"/>
        </w:rPr>
      </w:pPr>
      <w:r>
        <w:rPr>
          <w:rFonts w:hint="eastAsia"/>
          <w:highlight w:val="none"/>
        </w:rPr>
        <w:drawing>
          <wp:inline distT="0" distB="0" distL="114300" distR="114300">
            <wp:extent cx="8260715" cy="5254625"/>
            <wp:effectExtent l="0" t="0" r="3175" b="6985"/>
            <wp:docPr id="27" name="图片 27" descr="2024-03-06 南通理工学院危化品中转库（修改）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4-03-06 南通理工学院危化品中转库（修改）_页面_01"/>
                    <pic:cNvPicPr>
                      <a:picLocks noChangeAspect="1"/>
                    </pic:cNvPicPr>
                  </pic:nvPicPr>
                  <pic:blipFill>
                    <a:blip r:embed="rId14"/>
                    <a:stretch>
                      <a:fillRect/>
                    </a:stretch>
                  </pic:blipFill>
                  <pic:spPr>
                    <a:xfrm rot="16200000">
                      <a:off x="0" y="0"/>
                      <a:ext cx="8260715" cy="5254625"/>
                    </a:xfrm>
                    <a:prstGeom prst="rect">
                      <a:avLst/>
                    </a:prstGeom>
                  </pic:spPr>
                </pic:pic>
              </a:graphicData>
            </a:graphic>
          </wp:inline>
        </w:drawing>
      </w:r>
      <w:r>
        <w:rPr>
          <w:rFonts w:hint="eastAsia"/>
          <w:highlight w:val="none"/>
        </w:rPr>
        <w:drawing>
          <wp:inline distT="0" distB="0" distL="114300" distR="114300">
            <wp:extent cx="8641080" cy="5226685"/>
            <wp:effectExtent l="0" t="0" r="12065" b="7620"/>
            <wp:docPr id="26" name="图片 26" descr="2024-03-06 南通理工学院危化品中转库（修改）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4-03-06 南通理工学院危化品中转库（修改）_页面_02"/>
                    <pic:cNvPicPr>
                      <a:picLocks noChangeAspect="1"/>
                    </pic:cNvPicPr>
                  </pic:nvPicPr>
                  <pic:blipFill>
                    <a:blip r:embed="rId15"/>
                    <a:stretch>
                      <a:fillRect/>
                    </a:stretch>
                  </pic:blipFill>
                  <pic:spPr>
                    <a:xfrm rot="16200000">
                      <a:off x="0" y="0"/>
                      <a:ext cx="8641080" cy="5226685"/>
                    </a:xfrm>
                    <a:prstGeom prst="rect">
                      <a:avLst/>
                    </a:prstGeom>
                  </pic:spPr>
                </pic:pic>
              </a:graphicData>
            </a:graphic>
          </wp:inline>
        </w:drawing>
      </w:r>
      <w:bookmarkStart w:id="47" w:name="_GoBack"/>
      <w:r>
        <w:rPr>
          <w:rFonts w:hint="eastAsia"/>
          <w:highlight w:val="none"/>
        </w:rPr>
        <w:drawing>
          <wp:inline distT="0" distB="0" distL="114300" distR="114300">
            <wp:extent cx="8682355" cy="5303520"/>
            <wp:effectExtent l="0" t="0" r="11430" b="4445"/>
            <wp:docPr id="25" name="图片 25" descr="2024-03-06 南通理工学院危化品中转库（修改）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4-03-06 南通理工学院危化品中转库（修改）_页面_03"/>
                    <pic:cNvPicPr>
                      <a:picLocks noChangeAspect="1"/>
                    </pic:cNvPicPr>
                  </pic:nvPicPr>
                  <pic:blipFill>
                    <a:blip r:embed="rId16"/>
                    <a:stretch>
                      <a:fillRect/>
                    </a:stretch>
                  </pic:blipFill>
                  <pic:spPr>
                    <a:xfrm rot="16200000">
                      <a:off x="0" y="0"/>
                      <a:ext cx="8682355" cy="5303520"/>
                    </a:xfrm>
                    <a:prstGeom prst="rect">
                      <a:avLst/>
                    </a:prstGeom>
                  </pic:spPr>
                </pic:pic>
              </a:graphicData>
            </a:graphic>
          </wp:inline>
        </w:drawing>
      </w:r>
      <w:bookmarkEnd w:id="47"/>
      <w:r>
        <w:rPr>
          <w:rFonts w:hint="eastAsia"/>
          <w:highlight w:val="none"/>
        </w:rPr>
        <w:drawing>
          <wp:inline distT="0" distB="0" distL="114300" distR="114300">
            <wp:extent cx="8543290" cy="5325745"/>
            <wp:effectExtent l="0" t="0" r="8255" b="10160"/>
            <wp:docPr id="24" name="图片 24" descr="2024-03-06 南通理工学院危化品中转库（修改）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4-03-06 南通理工学院危化品中转库（修改）_页面_04"/>
                    <pic:cNvPicPr>
                      <a:picLocks noChangeAspect="1"/>
                    </pic:cNvPicPr>
                  </pic:nvPicPr>
                  <pic:blipFill>
                    <a:blip r:embed="rId17"/>
                    <a:stretch>
                      <a:fillRect/>
                    </a:stretch>
                  </pic:blipFill>
                  <pic:spPr>
                    <a:xfrm rot="16200000">
                      <a:off x="0" y="0"/>
                      <a:ext cx="8543290" cy="5325745"/>
                    </a:xfrm>
                    <a:prstGeom prst="rect">
                      <a:avLst/>
                    </a:prstGeom>
                  </pic:spPr>
                </pic:pic>
              </a:graphicData>
            </a:graphic>
          </wp:inline>
        </w:drawing>
      </w:r>
      <w:r>
        <w:rPr>
          <w:rFonts w:hint="eastAsia"/>
          <w:highlight w:val="none"/>
        </w:rPr>
        <w:drawing>
          <wp:inline distT="0" distB="0" distL="114300" distR="114300">
            <wp:extent cx="8415020" cy="5336540"/>
            <wp:effectExtent l="0" t="0" r="16510" b="5080"/>
            <wp:docPr id="23" name="图片 23" descr="2024-03-06 南通理工学院危化品中转库（修改）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4-03-06 南通理工学院危化品中转库（修改）_页面_05"/>
                    <pic:cNvPicPr>
                      <a:picLocks noChangeAspect="1"/>
                    </pic:cNvPicPr>
                  </pic:nvPicPr>
                  <pic:blipFill>
                    <a:blip r:embed="rId18"/>
                    <a:stretch>
                      <a:fillRect/>
                    </a:stretch>
                  </pic:blipFill>
                  <pic:spPr>
                    <a:xfrm rot="16200000">
                      <a:off x="0" y="0"/>
                      <a:ext cx="8415020" cy="5336540"/>
                    </a:xfrm>
                    <a:prstGeom prst="rect">
                      <a:avLst/>
                    </a:prstGeom>
                  </pic:spPr>
                </pic:pic>
              </a:graphicData>
            </a:graphic>
          </wp:inline>
        </w:drawing>
      </w:r>
      <w:r>
        <w:rPr>
          <w:rFonts w:hint="eastAsia"/>
          <w:highlight w:val="none"/>
        </w:rPr>
        <w:drawing>
          <wp:inline distT="0" distB="0" distL="114300" distR="114300">
            <wp:extent cx="8504555" cy="5312410"/>
            <wp:effectExtent l="0" t="0" r="2540" b="10795"/>
            <wp:docPr id="22" name="图片 22" descr="2024-03-06 南通理工学院危化品中转库（修改）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4-03-06 南通理工学院危化品中转库（修改）_页面_06"/>
                    <pic:cNvPicPr>
                      <a:picLocks noChangeAspect="1"/>
                    </pic:cNvPicPr>
                  </pic:nvPicPr>
                  <pic:blipFill>
                    <a:blip r:embed="rId19"/>
                    <a:stretch>
                      <a:fillRect/>
                    </a:stretch>
                  </pic:blipFill>
                  <pic:spPr>
                    <a:xfrm rot="16200000">
                      <a:off x="0" y="0"/>
                      <a:ext cx="8504555" cy="5312410"/>
                    </a:xfrm>
                    <a:prstGeom prst="rect">
                      <a:avLst/>
                    </a:prstGeom>
                  </pic:spPr>
                </pic:pic>
              </a:graphicData>
            </a:graphic>
          </wp:inline>
        </w:drawing>
      </w:r>
      <w:r>
        <w:rPr>
          <w:rFonts w:hint="eastAsia"/>
          <w:highlight w:val="none"/>
        </w:rPr>
        <w:drawing>
          <wp:inline distT="0" distB="0" distL="114300" distR="114300">
            <wp:extent cx="8634730" cy="5296535"/>
            <wp:effectExtent l="0" t="0" r="18415" b="13970"/>
            <wp:docPr id="21" name="图片 21" descr="2024-03-06 南通理工学院危化品中转库（修改）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4-03-06 南通理工学院危化品中转库（修改）_页面_07"/>
                    <pic:cNvPicPr>
                      <a:picLocks noChangeAspect="1"/>
                    </pic:cNvPicPr>
                  </pic:nvPicPr>
                  <pic:blipFill>
                    <a:blip r:embed="rId20"/>
                    <a:stretch>
                      <a:fillRect/>
                    </a:stretch>
                  </pic:blipFill>
                  <pic:spPr>
                    <a:xfrm rot="16200000">
                      <a:off x="0" y="0"/>
                      <a:ext cx="8634730" cy="5296535"/>
                    </a:xfrm>
                    <a:prstGeom prst="rect">
                      <a:avLst/>
                    </a:prstGeom>
                  </pic:spPr>
                </pic:pic>
              </a:graphicData>
            </a:graphic>
          </wp:inline>
        </w:drawing>
      </w:r>
      <w:r>
        <w:rPr>
          <w:rFonts w:hint="eastAsia"/>
          <w:highlight w:val="none"/>
        </w:rPr>
        <w:drawing>
          <wp:inline distT="0" distB="0" distL="114300" distR="114300">
            <wp:extent cx="8647430" cy="5292725"/>
            <wp:effectExtent l="0" t="0" r="3175" b="1270"/>
            <wp:docPr id="20" name="图片 20" descr="2024-03-06 南通理工学院危化品中转库（修改）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4-03-06 南通理工学院危化品中转库（修改）_页面_08"/>
                    <pic:cNvPicPr>
                      <a:picLocks noChangeAspect="1"/>
                    </pic:cNvPicPr>
                  </pic:nvPicPr>
                  <pic:blipFill>
                    <a:blip r:embed="rId21"/>
                    <a:stretch>
                      <a:fillRect/>
                    </a:stretch>
                  </pic:blipFill>
                  <pic:spPr>
                    <a:xfrm rot="16200000">
                      <a:off x="0" y="0"/>
                      <a:ext cx="8647430" cy="5292725"/>
                    </a:xfrm>
                    <a:prstGeom prst="rect">
                      <a:avLst/>
                    </a:prstGeom>
                  </pic:spPr>
                </pic:pic>
              </a:graphicData>
            </a:graphic>
          </wp:inline>
        </w:drawing>
      </w:r>
      <w:r>
        <w:rPr>
          <w:rFonts w:hint="eastAsia"/>
          <w:highlight w:val="none"/>
        </w:rPr>
        <w:drawing>
          <wp:inline distT="0" distB="0" distL="114300" distR="114300">
            <wp:extent cx="8682355" cy="5289550"/>
            <wp:effectExtent l="0" t="0" r="6350" b="4445"/>
            <wp:docPr id="19" name="图片 19" descr="2024-03-06 南通理工学院危化品中转库（修改）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4-03-06 南通理工学院危化品中转库（修改）_页面_09"/>
                    <pic:cNvPicPr>
                      <a:picLocks noChangeAspect="1"/>
                    </pic:cNvPicPr>
                  </pic:nvPicPr>
                  <pic:blipFill>
                    <a:blip r:embed="rId22"/>
                    <a:stretch>
                      <a:fillRect/>
                    </a:stretch>
                  </pic:blipFill>
                  <pic:spPr>
                    <a:xfrm rot="16200000">
                      <a:off x="0" y="0"/>
                      <a:ext cx="8682355" cy="5289550"/>
                    </a:xfrm>
                    <a:prstGeom prst="rect">
                      <a:avLst/>
                    </a:prstGeom>
                  </pic:spPr>
                </pic:pic>
              </a:graphicData>
            </a:graphic>
          </wp:inline>
        </w:drawing>
      </w:r>
      <w:r>
        <w:rPr>
          <w:rFonts w:hint="eastAsia"/>
          <w:highlight w:val="none"/>
        </w:rPr>
        <w:drawing>
          <wp:inline distT="0" distB="0" distL="114300" distR="114300">
            <wp:extent cx="8641080" cy="5314950"/>
            <wp:effectExtent l="0" t="0" r="0" b="7620"/>
            <wp:docPr id="18" name="图片 18" descr="2024-03-06 南通理工学院危化品中转库（修改）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4-03-06 南通理工学院危化品中转库（修改）_页面_10"/>
                    <pic:cNvPicPr>
                      <a:picLocks noChangeAspect="1"/>
                    </pic:cNvPicPr>
                  </pic:nvPicPr>
                  <pic:blipFill>
                    <a:blip r:embed="rId23"/>
                    <a:stretch>
                      <a:fillRect/>
                    </a:stretch>
                  </pic:blipFill>
                  <pic:spPr>
                    <a:xfrm rot="16200000">
                      <a:off x="0" y="0"/>
                      <a:ext cx="8641080" cy="5314950"/>
                    </a:xfrm>
                    <a:prstGeom prst="rect">
                      <a:avLst/>
                    </a:prstGeom>
                  </pic:spPr>
                </pic:pic>
              </a:graphicData>
            </a:graphic>
          </wp:inline>
        </w:drawing>
      </w:r>
      <w:r>
        <w:rPr>
          <w:rFonts w:hint="eastAsia"/>
          <w:highlight w:val="none"/>
        </w:rPr>
        <w:drawing>
          <wp:inline distT="0" distB="0" distL="114300" distR="114300">
            <wp:extent cx="8623935" cy="5234940"/>
            <wp:effectExtent l="0" t="0" r="3810" b="5715"/>
            <wp:docPr id="17" name="图片 17" descr="2024-03-06 南通理工学院危化品中转库（修改）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4-03-06 南通理工学院危化品中转库（修改）_页面_11"/>
                    <pic:cNvPicPr>
                      <a:picLocks noChangeAspect="1"/>
                    </pic:cNvPicPr>
                  </pic:nvPicPr>
                  <pic:blipFill>
                    <a:blip r:embed="rId24"/>
                    <a:stretch>
                      <a:fillRect/>
                    </a:stretch>
                  </pic:blipFill>
                  <pic:spPr>
                    <a:xfrm rot="16200000">
                      <a:off x="0" y="0"/>
                      <a:ext cx="8623935" cy="5234940"/>
                    </a:xfrm>
                    <a:prstGeom prst="rect">
                      <a:avLst/>
                    </a:prstGeom>
                  </pic:spPr>
                </pic:pic>
              </a:graphicData>
            </a:graphic>
          </wp:inline>
        </w:drawing>
      </w:r>
      <w:r>
        <w:rPr>
          <w:rFonts w:hint="eastAsia"/>
          <w:highlight w:val="none"/>
        </w:rPr>
        <w:drawing>
          <wp:inline distT="0" distB="0" distL="114300" distR="114300">
            <wp:extent cx="8590915" cy="5231765"/>
            <wp:effectExtent l="0" t="0" r="6985" b="635"/>
            <wp:docPr id="16" name="图片 16" descr="2024-03-06 南通理工学院危化品中转库（修改）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4-03-06 南通理工学院危化品中转库（修改）_页面_12"/>
                    <pic:cNvPicPr>
                      <a:picLocks noChangeAspect="1"/>
                    </pic:cNvPicPr>
                  </pic:nvPicPr>
                  <pic:blipFill>
                    <a:blip r:embed="rId25"/>
                    <a:stretch>
                      <a:fillRect/>
                    </a:stretch>
                  </pic:blipFill>
                  <pic:spPr>
                    <a:xfrm rot="16200000">
                      <a:off x="0" y="0"/>
                      <a:ext cx="8590915" cy="5231765"/>
                    </a:xfrm>
                    <a:prstGeom prst="rect">
                      <a:avLst/>
                    </a:prstGeom>
                  </pic:spPr>
                </pic:pic>
              </a:graphicData>
            </a:graphic>
          </wp:inline>
        </w:drawing>
      </w:r>
      <w:r>
        <w:rPr>
          <w:rFonts w:hint="eastAsia"/>
          <w:highlight w:val="none"/>
        </w:rPr>
        <w:drawing>
          <wp:inline distT="0" distB="0" distL="114300" distR="114300">
            <wp:extent cx="8548370" cy="5235575"/>
            <wp:effectExtent l="0" t="0" r="3175" b="5080"/>
            <wp:docPr id="14" name="图片 14" descr="2024-03-06 南通理工学院危化品中转库（修改）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4-03-06 南通理工学院危化品中转库（修改）_页面_13"/>
                    <pic:cNvPicPr>
                      <a:picLocks noChangeAspect="1"/>
                    </pic:cNvPicPr>
                  </pic:nvPicPr>
                  <pic:blipFill>
                    <a:blip r:embed="rId26"/>
                    <a:stretch>
                      <a:fillRect/>
                    </a:stretch>
                  </pic:blipFill>
                  <pic:spPr>
                    <a:xfrm rot="16200000">
                      <a:off x="0" y="0"/>
                      <a:ext cx="8548370" cy="5235575"/>
                    </a:xfrm>
                    <a:prstGeom prst="rect">
                      <a:avLst/>
                    </a:prstGeom>
                  </pic:spPr>
                </pic:pic>
              </a:graphicData>
            </a:graphic>
          </wp:inline>
        </w:drawing>
      </w:r>
    </w:p>
    <w:p>
      <w:pPr>
        <w:pStyle w:val="4"/>
        <w:numPr>
          <w:ilvl w:val="1"/>
          <w:numId w:val="0"/>
        </w:numPr>
        <w:rPr>
          <w:b/>
          <w:bCs/>
          <w:highlight w:val="none"/>
        </w:rPr>
      </w:pPr>
      <w:bookmarkStart w:id="44" w:name="_Toc10670"/>
      <w:bookmarkStart w:id="45" w:name="_Toc10984"/>
      <w:r>
        <w:rPr>
          <w:rFonts w:hint="eastAsia"/>
          <w:b/>
          <w:bCs/>
          <w:highlight w:val="none"/>
          <w:lang w:val="en-US" w:eastAsia="zh-CN"/>
        </w:rPr>
        <w:t>六</w:t>
      </w:r>
      <w:r>
        <w:rPr>
          <w:rFonts w:hint="eastAsia"/>
          <w:b/>
          <w:bCs/>
          <w:highlight w:val="none"/>
        </w:rPr>
        <w:t>、</w:t>
      </w:r>
      <w:bookmarkStart w:id="46" w:name="效果图及其他项目现场案例"/>
      <w:r>
        <w:rPr>
          <w:rFonts w:hint="eastAsia"/>
          <w:b/>
          <w:bCs/>
          <w:highlight w:val="none"/>
        </w:rPr>
        <w:t>效果图及其他项目现场案例</w:t>
      </w:r>
      <w:bookmarkEnd w:id="44"/>
      <w:bookmarkEnd w:id="45"/>
      <w:bookmarkEnd w:id="46"/>
    </w:p>
    <w:p>
      <w:pPr>
        <w:spacing w:line="360" w:lineRule="auto"/>
        <w:ind w:left="661"/>
        <w:rPr>
          <w:highlight w:val="none"/>
        </w:rPr>
      </w:pPr>
      <w:r>
        <w:rPr>
          <w:rFonts w:hint="eastAsia"/>
          <w:highlight w:val="none"/>
        </w:rPr>
        <w:drawing>
          <wp:anchor distT="0" distB="0" distL="114300" distR="114300" simplePos="0" relativeHeight="251661312" behindDoc="1" locked="0" layoutInCell="1" allowOverlap="1">
            <wp:simplePos x="0" y="0"/>
            <wp:positionH relativeFrom="column">
              <wp:posOffset>48895</wp:posOffset>
            </wp:positionH>
            <wp:positionV relativeFrom="paragraph">
              <wp:posOffset>74930</wp:posOffset>
            </wp:positionV>
            <wp:extent cx="5601970" cy="3151505"/>
            <wp:effectExtent l="0" t="0" r="17780" b="10795"/>
            <wp:wrapTight wrapText="bothSides">
              <wp:wrapPolygon>
                <wp:start x="0" y="0"/>
                <wp:lineTo x="0" y="21413"/>
                <wp:lineTo x="21522" y="21413"/>
                <wp:lineTo x="21522" y="0"/>
                <wp:lineTo x="0" y="0"/>
              </wp:wrapPolygon>
            </wp:wrapTight>
            <wp:docPr id="28" name="图片 8" descr="WechatIMG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WechatIMG3019"/>
                    <pic:cNvPicPr>
                      <a:picLocks noChangeAspect="1"/>
                    </pic:cNvPicPr>
                  </pic:nvPicPr>
                  <pic:blipFill>
                    <a:blip r:embed="rId27"/>
                    <a:stretch>
                      <a:fillRect/>
                    </a:stretch>
                  </pic:blipFill>
                  <pic:spPr>
                    <a:xfrm>
                      <a:off x="0" y="0"/>
                      <a:ext cx="5601970" cy="3151505"/>
                    </a:xfrm>
                    <a:prstGeom prst="rect">
                      <a:avLst/>
                    </a:prstGeom>
                    <a:noFill/>
                    <a:ln>
                      <a:noFill/>
                    </a:ln>
                  </pic:spPr>
                </pic:pic>
              </a:graphicData>
            </a:graphic>
          </wp:anchor>
        </w:drawing>
      </w:r>
    </w:p>
    <w:p>
      <w:pPr>
        <w:spacing w:line="360" w:lineRule="auto"/>
        <w:rPr>
          <w:highlight w:val="none"/>
        </w:rPr>
      </w:pPr>
    </w:p>
    <w:p>
      <w:pPr>
        <w:spacing w:line="360" w:lineRule="auto"/>
        <w:ind w:left="661"/>
        <w:rPr>
          <w:highlight w:val="none"/>
        </w:rPr>
      </w:pPr>
      <w:r>
        <w:rPr>
          <w:highlight w:val="none"/>
        </w:rPr>
        <w:drawing>
          <wp:anchor distT="0" distB="0" distL="114300" distR="114300" simplePos="0" relativeHeight="251662336" behindDoc="1" locked="0" layoutInCell="1" allowOverlap="1">
            <wp:simplePos x="0" y="0"/>
            <wp:positionH relativeFrom="column">
              <wp:posOffset>48895</wp:posOffset>
            </wp:positionH>
            <wp:positionV relativeFrom="paragraph">
              <wp:posOffset>2540</wp:posOffset>
            </wp:positionV>
            <wp:extent cx="5622290" cy="3164205"/>
            <wp:effectExtent l="0" t="0" r="16510" b="17145"/>
            <wp:wrapTight wrapText="bothSides">
              <wp:wrapPolygon>
                <wp:start x="0" y="0"/>
                <wp:lineTo x="0" y="21457"/>
                <wp:lineTo x="21517" y="21457"/>
                <wp:lineTo x="21517" y="0"/>
                <wp:lineTo x="0" y="0"/>
              </wp:wrapPolygon>
            </wp:wrapTight>
            <wp:docPr id="31" name="图片 9" descr="C:\Users\user\AppData\Local\Temp\WeChat Files\6c37faffeef49e04be6bc374da3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C:\Users\user\AppData\Local\Temp\WeChat Files\6c37faffeef49e04be6bc374da3e564.jpg"/>
                    <pic:cNvPicPr>
                      <a:picLocks noChangeAspect="1"/>
                    </pic:cNvPicPr>
                  </pic:nvPicPr>
                  <pic:blipFill>
                    <a:blip r:embed="rId28"/>
                    <a:stretch>
                      <a:fillRect/>
                    </a:stretch>
                  </pic:blipFill>
                  <pic:spPr>
                    <a:xfrm>
                      <a:off x="0" y="0"/>
                      <a:ext cx="5622290" cy="3164205"/>
                    </a:xfrm>
                    <a:prstGeom prst="rect">
                      <a:avLst/>
                    </a:prstGeom>
                    <a:noFill/>
                    <a:ln>
                      <a:noFill/>
                    </a:ln>
                  </pic:spPr>
                </pic:pic>
              </a:graphicData>
            </a:graphic>
          </wp:anchor>
        </w:drawing>
      </w: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rPr>
          <w:highlight w:val="none"/>
        </w:rPr>
      </w:pPr>
      <w:r>
        <w:rPr>
          <w:highlight w:val="none"/>
        </w:rPr>
        <w:drawing>
          <wp:inline distT="0" distB="0" distL="114300" distR="114300">
            <wp:extent cx="5272405" cy="3762375"/>
            <wp:effectExtent l="0" t="0" r="444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5272405" cy="3762375"/>
                    </a:xfrm>
                    <a:prstGeom prst="rect">
                      <a:avLst/>
                    </a:prstGeom>
                    <a:noFill/>
                    <a:ln>
                      <a:noFill/>
                    </a:ln>
                  </pic:spPr>
                </pic:pic>
              </a:graphicData>
            </a:graphic>
          </wp:inline>
        </w:drawing>
      </w:r>
    </w:p>
    <w:p>
      <w:pPr>
        <w:spacing w:line="360" w:lineRule="auto"/>
        <w:rPr>
          <w:rFonts w:eastAsiaTheme="minorEastAsia"/>
          <w:highlight w:val="none"/>
        </w:rPr>
      </w:pPr>
      <w:r>
        <w:rPr>
          <w:rFonts w:hint="eastAsia" w:eastAsiaTheme="minorEastAsia"/>
          <w:highlight w:val="none"/>
        </w:rPr>
        <w:drawing>
          <wp:inline distT="0" distB="0" distL="114300" distR="114300">
            <wp:extent cx="5274310" cy="3767455"/>
            <wp:effectExtent l="0" t="0" r="2540" b="4445"/>
            <wp:docPr id="37" name="图片 37" descr="93f8510fa6fe85db1120b358da69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3f8510fa6fe85db1120b358da69f1c"/>
                    <pic:cNvPicPr>
                      <a:picLocks noChangeAspect="1"/>
                    </pic:cNvPicPr>
                  </pic:nvPicPr>
                  <pic:blipFill>
                    <a:blip r:embed="rId30"/>
                    <a:stretch>
                      <a:fillRect/>
                    </a:stretch>
                  </pic:blipFill>
                  <pic:spPr>
                    <a:xfrm>
                      <a:off x="0" y="0"/>
                      <a:ext cx="5274310" cy="3767455"/>
                    </a:xfrm>
                    <a:prstGeom prst="rect">
                      <a:avLst/>
                    </a:prstGeom>
                  </pic:spPr>
                </pic:pic>
              </a:graphicData>
            </a:graphic>
          </wp:inline>
        </w:drawing>
      </w:r>
    </w:p>
    <w:p>
      <w:pPr>
        <w:spacing w:line="360" w:lineRule="auto"/>
        <w:rPr>
          <w:rFonts w:eastAsiaTheme="minorEastAsia"/>
          <w:highlight w:val="none"/>
        </w:rPr>
      </w:pPr>
      <w:r>
        <w:rPr>
          <w:rFonts w:hint="eastAsia" w:eastAsiaTheme="minorEastAsia"/>
          <w:highlight w:val="none"/>
        </w:rPr>
        <w:drawing>
          <wp:inline distT="0" distB="0" distL="114300" distR="114300">
            <wp:extent cx="5274310" cy="3767455"/>
            <wp:effectExtent l="0" t="0" r="2540" b="4445"/>
            <wp:docPr id="38" name="图片 38" descr="0cc3b80e3de06c63d4f9b51a0de1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cc3b80e3de06c63d4f9b51a0de1e2d"/>
                    <pic:cNvPicPr>
                      <a:picLocks noChangeAspect="1"/>
                    </pic:cNvPicPr>
                  </pic:nvPicPr>
                  <pic:blipFill>
                    <a:blip r:embed="rId31"/>
                    <a:stretch>
                      <a:fillRect/>
                    </a:stretch>
                  </pic:blipFill>
                  <pic:spPr>
                    <a:xfrm>
                      <a:off x="0" y="0"/>
                      <a:ext cx="5274310" cy="3767455"/>
                    </a:xfrm>
                    <a:prstGeom prst="rect">
                      <a:avLst/>
                    </a:prstGeom>
                  </pic:spPr>
                </pic:pic>
              </a:graphicData>
            </a:graphic>
          </wp:inline>
        </w:drawing>
      </w:r>
    </w:p>
    <w:p>
      <w:pPr>
        <w:rPr>
          <w:highlight w:val="none"/>
        </w:rPr>
      </w:pPr>
      <w:r>
        <w:rPr>
          <w:rFonts w:hint="eastAsia" w:eastAsiaTheme="minorEastAsia"/>
          <w:highlight w:val="none"/>
        </w:rPr>
        <w:drawing>
          <wp:inline distT="0" distB="0" distL="114300" distR="114300">
            <wp:extent cx="5274310" cy="3767455"/>
            <wp:effectExtent l="0" t="0" r="2540" b="4445"/>
            <wp:docPr id="39" name="图片 39" descr="53e3f0eb1cac4882a2e7be93978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3e3f0eb1cac4882a2e7be939780693"/>
                    <pic:cNvPicPr>
                      <a:picLocks noChangeAspect="1"/>
                    </pic:cNvPicPr>
                  </pic:nvPicPr>
                  <pic:blipFill>
                    <a:blip r:embed="rId32"/>
                    <a:stretch>
                      <a:fillRect/>
                    </a:stretch>
                  </pic:blipFill>
                  <pic:spPr>
                    <a:xfrm>
                      <a:off x="0" y="0"/>
                      <a:ext cx="5274310" cy="3767455"/>
                    </a:xfrm>
                    <a:prstGeom prst="rect">
                      <a:avLst/>
                    </a:prstGeom>
                  </pic:spPr>
                </pic:pic>
              </a:graphicData>
            </a:graphic>
          </wp:inline>
        </w:drawing>
      </w:r>
    </w:p>
    <w:p>
      <w:pPr>
        <w:rPr>
          <w:highlight w:val="none"/>
        </w:rPr>
      </w:pPr>
    </w:p>
    <w:p>
      <w:pPr>
        <w:pStyle w:val="7"/>
        <w:ind w:left="0" w:leftChars="0"/>
        <w:rPr>
          <w:highlight w:val="none"/>
        </w:rPr>
      </w:pPr>
      <w:r>
        <w:rPr>
          <w:highlight w:val="none"/>
        </w:rPr>
        <w:drawing>
          <wp:inline distT="0" distB="0" distL="114300" distR="114300">
            <wp:extent cx="2555875" cy="1916430"/>
            <wp:effectExtent l="0" t="0" r="15875" b="7620"/>
            <wp:docPr id="40" name="图片 40" descr="1edfb1dc9f7cf44a121fe3c4faec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edfb1dc9f7cf44a121fe3c4faec5ee"/>
                    <pic:cNvPicPr>
                      <a:picLocks noChangeAspect="1"/>
                    </pic:cNvPicPr>
                  </pic:nvPicPr>
                  <pic:blipFill>
                    <a:blip r:embed="rId33" cstate="print"/>
                    <a:stretch>
                      <a:fillRect/>
                    </a:stretch>
                  </pic:blipFill>
                  <pic:spPr>
                    <a:xfrm>
                      <a:off x="0" y="0"/>
                      <a:ext cx="2555875" cy="1916430"/>
                    </a:xfrm>
                    <a:prstGeom prst="rect">
                      <a:avLst/>
                    </a:prstGeom>
                  </pic:spPr>
                </pic:pic>
              </a:graphicData>
            </a:graphic>
          </wp:inline>
        </w:drawing>
      </w:r>
      <w:r>
        <w:rPr>
          <w:highlight w:val="none"/>
        </w:rPr>
        <w:drawing>
          <wp:inline distT="0" distB="0" distL="114300" distR="114300">
            <wp:extent cx="2555875" cy="1916430"/>
            <wp:effectExtent l="0" t="0" r="15875" b="7620"/>
            <wp:docPr id="41" name="图片 41" descr="f7c173d8eff5489d4b79b6978f4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7c173d8eff5489d4b79b6978f46102"/>
                    <pic:cNvPicPr>
                      <a:picLocks noChangeAspect="1"/>
                    </pic:cNvPicPr>
                  </pic:nvPicPr>
                  <pic:blipFill>
                    <a:blip r:embed="rId34" cstate="print"/>
                    <a:stretch>
                      <a:fillRect/>
                    </a:stretch>
                  </pic:blipFill>
                  <pic:spPr>
                    <a:xfrm>
                      <a:off x="0" y="0"/>
                      <a:ext cx="2555875" cy="1916430"/>
                    </a:xfrm>
                    <a:prstGeom prst="rect">
                      <a:avLst/>
                    </a:prstGeom>
                  </pic:spPr>
                </pic:pic>
              </a:graphicData>
            </a:graphic>
          </wp:inline>
        </w:drawing>
      </w:r>
    </w:p>
    <w:p>
      <w:pPr>
        <w:pStyle w:val="7"/>
        <w:ind w:left="0" w:leftChars="0"/>
        <w:rPr>
          <w:highlight w:val="none"/>
        </w:rPr>
      </w:pPr>
      <w:r>
        <w:rPr>
          <w:highlight w:val="none"/>
        </w:rPr>
        <w:drawing>
          <wp:inline distT="0" distB="0" distL="114300" distR="114300">
            <wp:extent cx="2555875" cy="1917700"/>
            <wp:effectExtent l="0" t="0" r="15875" b="6350"/>
            <wp:docPr id="42" name="图片 42" descr="312a8b0dfb08602df35f87faca28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12a8b0dfb08602df35f87faca2854c"/>
                    <pic:cNvPicPr>
                      <a:picLocks noChangeAspect="1"/>
                    </pic:cNvPicPr>
                  </pic:nvPicPr>
                  <pic:blipFill>
                    <a:blip r:embed="rId35" cstate="print"/>
                    <a:stretch>
                      <a:fillRect/>
                    </a:stretch>
                  </pic:blipFill>
                  <pic:spPr>
                    <a:xfrm>
                      <a:off x="0" y="0"/>
                      <a:ext cx="2555875" cy="1917700"/>
                    </a:xfrm>
                    <a:prstGeom prst="rect">
                      <a:avLst/>
                    </a:prstGeom>
                  </pic:spPr>
                </pic:pic>
              </a:graphicData>
            </a:graphic>
          </wp:inline>
        </w:drawing>
      </w:r>
      <w:r>
        <w:rPr>
          <w:highlight w:val="none"/>
        </w:rPr>
        <w:drawing>
          <wp:inline distT="0" distB="0" distL="114300" distR="114300">
            <wp:extent cx="2547620" cy="1921510"/>
            <wp:effectExtent l="0" t="0" r="5080" b="2540"/>
            <wp:docPr id="43" name="图片 43" descr="36fbe7f84c1bf94392a8c9351bef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6fbe7f84c1bf94392a8c9351bef0b1"/>
                    <pic:cNvPicPr>
                      <a:picLocks noChangeAspect="1"/>
                    </pic:cNvPicPr>
                  </pic:nvPicPr>
                  <pic:blipFill>
                    <a:blip r:embed="rId36" cstate="print"/>
                    <a:stretch>
                      <a:fillRect/>
                    </a:stretch>
                  </pic:blipFill>
                  <pic:spPr>
                    <a:xfrm>
                      <a:off x="0" y="0"/>
                      <a:ext cx="2547620" cy="1921510"/>
                    </a:xfrm>
                    <a:prstGeom prst="rect">
                      <a:avLst/>
                    </a:prstGeom>
                  </pic:spPr>
                </pic:pic>
              </a:graphicData>
            </a:graphic>
          </wp:inline>
        </w:drawing>
      </w:r>
    </w:p>
    <w:p>
      <w:pPr>
        <w:spacing w:line="720" w:lineRule="auto"/>
        <w:rPr>
          <w:b/>
          <w:bCs/>
          <w:sz w:val="28"/>
          <w:szCs w:val="28"/>
          <w:highlight w:val="none"/>
          <w:lang w:eastAsia="zh-Hans"/>
        </w:rPr>
      </w:pPr>
      <w:r>
        <w:rPr>
          <w:highlight w:val="none"/>
        </w:rPr>
        <w:drawing>
          <wp:inline distT="0" distB="0" distL="114300" distR="114300">
            <wp:extent cx="1692275" cy="2507615"/>
            <wp:effectExtent l="0" t="0" r="3175" b="6985"/>
            <wp:docPr id="44" name="图片 44" descr="8d0c05f96d40a989b56a637cc5bf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d0c05f96d40a989b56a637cc5bf54c"/>
                    <pic:cNvPicPr>
                      <a:picLocks noChangeAspect="1"/>
                    </pic:cNvPicPr>
                  </pic:nvPicPr>
                  <pic:blipFill>
                    <a:blip r:embed="rId37" cstate="print"/>
                    <a:stretch>
                      <a:fillRect/>
                    </a:stretch>
                  </pic:blipFill>
                  <pic:spPr>
                    <a:xfrm>
                      <a:off x="0" y="0"/>
                      <a:ext cx="1692275" cy="2507615"/>
                    </a:xfrm>
                    <a:prstGeom prst="rect">
                      <a:avLst/>
                    </a:prstGeom>
                  </pic:spPr>
                </pic:pic>
              </a:graphicData>
            </a:graphic>
          </wp:inline>
        </w:drawing>
      </w:r>
      <w:r>
        <w:rPr>
          <w:highlight w:val="none"/>
        </w:rPr>
        <w:drawing>
          <wp:inline distT="0" distB="0" distL="114300" distR="114300">
            <wp:extent cx="1692275" cy="2506980"/>
            <wp:effectExtent l="0" t="0" r="3175" b="7620"/>
            <wp:docPr id="45" name="图片 45" descr="2a14318280658ae922c11c29b7a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a14318280658ae922c11c29b7a0194"/>
                    <pic:cNvPicPr>
                      <a:picLocks noChangeAspect="1"/>
                    </pic:cNvPicPr>
                  </pic:nvPicPr>
                  <pic:blipFill>
                    <a:blip r:embed="rId38" cstate="print"/>
                    <a:stretch>
                      <a:fillRect/>
                    </a:stretch>
                  </pic:blipFill>
                  <pic:spPr>
                    <a:xfrm>
                      <a:off x="0" y="0"/>
                      <a:ext cx="1692275" cy="2506980"/>
                    </a:xfrm>
                    <a:prstGeom prst="rect">
                      <a:avLst/>
                    </a:prstGeom>
                  </pic:spPr>
                </pic:pic>
              </a:graphicData>
            </a:graphic>
          </wp:inline>
        </w:drawing>
      </w:r>
      <w:r>
        <w:rPr>
          <w:highlight w:val="none"/>
        </w:rPr>
        <w:drawing>
          <wp:inline distT="0" distB="0" distL="114300" distR="114300">
            <wp:extent cx="1692275" cy="2506980"/>
            <wp:effectExtent l="0" t="0" r="3175" b="7620"/>
            <wp:docPr id="46" name="图片 46" descr="c324965de16a53e579b35d198407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324965de16a53e579b35d198407d55"/>
                    <pic:cNvPicPr>
                      <a:picLocks noChangeAspect="1"/>
                    </pic:cNvPicPr>
                  </pic:nvPicPr>
                  <pic:blipFill>
                    <a:blip r:embed="rId39" cstate="print"/>
                    <a:stretch>
                      <a:fillRect/>
                    </a:stretch>
                  </pic:blipFill>
                  <pic:spPr>
                    <a:xfrm>
                      <a:off x="0" y="0"/>
                      <a:ext cx="1692275" cy="2506980"/>
                    </a:xfrm>
                    <a:prstGeom prst="rect">
                      <a:avLst/>
                    </a:prstGeom>
                  </pic:spPr>
                </pic:pic>
              </a:graphicData>
            </a:graphic>
          </wp:inline>
        </w:drawing>
      </w:r>
    </w:p>
    <w:p>
      <w:pPr>
        <w:spacing w:line="720" w:lineRule="auto"/>
        <w:ind w:firstLine="562" w:firstLineChars="200"/>
        <w:rPr>
          <w:b/>
          <w:bCs/>
          <w:sz w:val="28"/>
          <w:szCs w:val="28"/>
          <w:highlight w:val="none"/>
          <w:lang w:eastAsia="zh-Hans"/>
        </w:rPr>
      </w:pPr>
    </w:p>
    <w:p>
      <w:pPr>
        <w:rPr>
          <w:highlight w:val="none"/>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第</w:t>
                          </w:r>
                          <w:r>
                            <w:fldChar w:fldCharType="begin"/>
                          </w:r>
                          <w:r>
                            <w:instrText xml:space="preserve"> PAGE  \* MERGEFORMAT </w:instrText>
                          </w:r>
                          <w:r>
                            <w:fldChar w:fldCharType="separate"/>
                          </w:r>
                          <w:r>
                            <w:t>29</w:t>
                          </w:r>
                          <w:r>
                            <w:fldChar w:fldCharType="end"/>
                          </w:r>
                          <w:r>
                            <w:t>页共</w:t>
                          </w:r>
                          <w:r>
                            <w:fldChar w:fldCharType="begin"/>
                          </w:r>
                          <w:r>
                            <w:instrText xml:space="preserve"> NUMPAGES  \* MERGEFORMAT </w:instrText>
                          </w:r>
                          <w:r>
                            <w:fldChar w:fldCharType="separate"/>
                          </w:r>
                          <w:r>
                            <w:t>32</w:t>
                          </w:r>
                          <w: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0"/>
                    </w:pPr>
                    <w:r>
                      <w:t>第</w:t>
                    </w:r>
                    <w:r>
                      <w:fldChar w:fldCharType="begin"/>
                    </w:r>
                    <w:r>
                      <w:instrText xml:space="preserve"> PAGE  \* MERGEFORMAT </w:instrText>
                    </w:r>
                    <w:r>
                      <w:fldChar w:fldCharType="separate"/>
                    </w:r>
                    <w:r>
                      <w:t>29</w:t>
                    </w:r>
                    <w:r>
                      <w:fldChar w:fldCharType="end"/>
                    </w:r>
                    <w:r>
                      <w:t>页共</w:t>
                    </w:r>
                    <w:r>
                      <w:fldChar w:fldCharType="begin"/>
                    </w:r>
                    <w:r>
                      <w:instrText xml:space="preserve"> NUMPAGES  \* MERGEFORMAT </w:instrText>
                    </w:r>
                    <w:r>
                      <w:fldChar w:fldCharType="separate"/>
                    </w:r>
                    <w:r>
                      <w:t>32</w:t>
                    </w:r>
                    <w:r>
                      <w:fldChar w:fldCharType="end"/>
                    </w:r>
                    <w:r>
                      <w:t>页</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087E9"/>
    <w:multiLevelType w:val="singleLevel"/>
    <w:tmpl w:val="9AC087E9"/>
    <w:lvl w:ilvl="0" w:tentative="0">
      <w:start w:val="1"/>
      <w:numFmt w:val="chineseCounting"/>
      <w:suff w:val="nothing"/>
      <w:lvlText w:val="%1、"/>
      <w:lvlJc w:val="left"/>
      <w:rPr>
        <w:rFonts w:hint="eastAsia"/>
      </w:rPr>
    </w:lvl>
  </w:abstractNum>
  <w:abstractNum w:abstractNumId="1">
    <w:nsid w:val="2BD05768"/>
    <w:multiLevelType w:val="singleLevel"/>
    <w:tmpl w:val="2BD05768"/>
    <w:lvl w:ilvl="0" w:tentative="0">
      <w:start w:val="1"/>
      <w:numFmt w:val="decimal"/>
      <w:lvlText w:val="%1."/>
      <w:lvlJc w:val="left"/>
      <w:pPr>
        <w:tabs>
          <w:tab w:val="left" w:pos="312"/>
        </w:tabs>
      </w:pPr>
    </w:lvl>
  </w:abstractNum>
  <w:abstractNum w:abstractNumId="2">
    <w:nsid w:val="3EDB067D"/>
    <w:multiLevelType w:val="multilevel"/>
    <w:tmpl w:val="3EDB067D"/>
    <w:lvl w:ilvl="0" w:tentative="0">
      <w:start w:val="1"/>
      <w:numFmt w:val="chineseCountingThousand"/>
      <w:suff w:val="nothing"/>
      <w:lvlText w:val="第%1章"/>
      <w:lvlJc w:val="left"/>
      <w:pPr>
        <w:ind w:left="0" w:firstLine="0"/>
      </w:pPr>
      <w:rPr>
        <w:rFonts w:hint="eastAsia"/>
      </w:rPr>
    </w:lvl>
    <w:lvl w:ilvl="1" w:tentative="0">
      <w:start w:val="1"/>
      <w:numFmt w:val="chineseCountingThousand"/>
      <w:pStyle w:val="4"/>
      <w:lvlText w:val="%2、"/>
      <w:lvlJc w:val="left"/>
      <w:pPr>
        <w:ind w:left="993"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wMDk3MjVkYjQ0YmQ1MzU0MTFkZTQ5NzdjNjMwM2UifQ=="/>
  </w:docVars>
  <w:rsids>
    <w:rsidRoot w:val="00B54A27"/>
    <w:rsid w:val="00000335"/>
    <w:rsid w:val="0002138D"/>
    <w:rsid w:val="0004581A"/>
    <w:rsid w:val="000F6C65"/>
    <w:rsid w:val="001325A3"/>
    <w:rsid w:val="00143283"/>
    <w:rsid w:val="00196BE3"/>
    <w:rsid w:val="00196CA2"/>
    <w:rsid w:val="001C5FFC"/>
    <w:rsid w:val="001D7D62"/>
    <w:rsid w:val="001F0064"/>
    <w:rsid w:val="001F44F5"/>
    <w:rsid w:val="00222B7D"/>
    <w:rsid w:val="00224BE1"/>
    <w:rsid w:val="0025738E"/>
    <w:rsid w:val="00264DAA"/>
    <w:rsid w:val="00292F01"/>
    <w:rsid w:val="002D1562"/>
    <w:rsid w:val="003A486F"/>
    <w:rsid w:val="00436DC4"/>
    <w:rsid w:val="004A253D"/>
    <w:rsid w:val="004C086B"/>
    <w:rsid w:val="005575F7"/>
    <w:rsid w:val="0057011D"/>
    <w:rsid w:val="0059005B"/>
    <w:rsid w:val="006707FF"/>
    <w:rsid w:val="006B67AB"/>
    <w:rsid w:val="007016F2"/>
    <w:rsid w:val="0070411D"/>
    <w:rsid w:val="0072626C"/>
    <w:rsid w:val="00771877"/>
    <w:rsid w:val="007C4C66"/>
    <w:rsid w:val="0081413B"/>
    <w:rsid w:val="008823A0"/>
    <w:rsid w:val="008959DB"/>
    <w:rsid w:val="008D1031"/>
    <w:rsid w:val="00941521"/>
    <w:rsid w:val="00962303"/>
    <w:rsid w:val="00967207"/>
    <w:rsid w:val="009674A7"/>
    <w:rsid w:val="00980C5F"/>
    <w:rsid w:val="009933D6"/>
    <w:rsid w:val="009D08C3"/>
    <w:rsid w:val="009D7269"/>
    <w:rsid w:val="00A1030A"/>
    <w:rsid w:val="00A23AC5"/>
    <w:rsid w:val="00A31B93"/>
    <w:rsid w:val="00A92B5C"/>
    <w:rsid w:val="00AA1855"/>
    <w:rsid w:val="00AD00EA"/>
    <w:rsid w:val="00AF5A29"/>
    <w:rsid w:val="00B03F18"/>
    <w:rsid w:val="00B30C95"/>
    <w:rsid w:val="00B54A27"/>
    <w:rsid w:val="00B86D0B"/>
    <w:rsid w:val="00B91A84"/>
    <w:rsid w:val="00BD2F57"/>
    <w:rsid w:val="00BE126C"/>
    <w:rsid w:val="00CA31A9"/>
    <w:rsid w:val="00CA54B2"/>
    <w:rsid w:val="00CB3ACB"/>
    <w:rsid w:val="00E1605A"/>
    <w:rsid w:val="00E206FE"/>
    <w:rsid w:val="00E81DE8"/>
    <w:rsid w:val="00F04EE5"/>
    <w:rsid w:val="00F45C1F"/>
    <w:rsid w:val="00F82C87"/>
    <w:rsid w:val="00FC4E49"/>
    <w:rsid w:val="00FE6241"/>
    <w:rsid w:val="00FF553E"/>
    <w:rsid w:val="01D77748"/>
    <w:rsid w:val="042101B2"/>
    <w:rsid w:val="05270DD2"/>
    <w:rsid w:val="053C0C8A"/>
    <w:rsid w:val="056366E1"/>
    <w:rsid w:val="06F34D00"/>
    <w:rsid w:val="07C364BD"/>
    <w:rsid w:val="07CD3DED"/>
    <w:rsid w:val="081E18C9"/>
    <w:rsid w:val="082034D3"/>
    <w:rsid w:val="0A432ABB"/>
    <w:rsid w:val="0B010D53"/>
    <w:rsid w:val="0C6802F8"/>
    <w:rsid w:val="0DF4088B"/>
    <w:rsid w:val="0E152FAC"/>
    <w:rsid w:val="0E8774FB"/>
    <w:rsid w:val="0EEC59E7"/>
    <w:rsid w:val="0F5A772B"/>
    <w:rsid w:val="101535C5"/>
    <w:rsid w:val="11512479"/>
    <w:rsid w:val="118B7CD4"/>
    <w:rsid w:val="12070A5B"/>
    <w:rsid w:val="13442B5B"/>
    <w:rsid w:val="14861F22"/>
    <w:rsid w:val="15382343"/>
    <w:rsid w:val="158A5A42"/>
    <w:rsid w:val="15A33712"/>
    <w:rsid w:val="15B107B7"/>
    <w:rsid w:val="16087F4C"/>
    <w:rsid w:val="16D46E2A"/>
    <w:rsid w:val="17D72816"/>
    <w:rsid w:val="183B043C"/>
    <w:rsid w:val="1A8F1F6B"/>
    <w:rsid w:val="1AA1023C"/>
    <w:rsid w:val="1B0A7335"/>
    <w:rsid w:val="1C6E1C1A"/>
    <w:rsid w:val="1D1B7A5A"/>
    <w:rsid w:val="1D6210C5"/>
    <w:rsid w:val="1D7F3995"/>
    <w:rsid w:val="1E122A78"/>
    <w:rsid w:val="1EB879BB"/>
    <w:rsid w:val="21D33DF0"/>
    <w:rsid w:val="2281664B"/>
    <w:rsid w:val="23F3502D"/>
    <w:rsid w:val="25C96F0A"/>
    <w:rsid w:val="26B10B13"/>
    <w:rsid w:val="26E84F38"/>
    <w:rsid w:val="29CD0A97"/>
    <w:rsid w:val="29FF0184"/>
    <w:rsid w:val="2AE2204D"/>
    <w:rsid w:val="2B9329AB"/>
    <w:rsid w:val="2BB766C3"/>
    <w:rsid w:val="2BDB483F"/>
    <w:rsid w:val="2C3B23C8"/>
    <w:rsid w:val="2C801F12"/>
    <w:rsid w:val="2D3A4124"/>
    <w:rsid w:val="2D564A78"/>
    <w:rsid w:val="2F2D27F4"/>
    <w:rsid w:val="3025488D"/>
    <w:rsid w:val="30B515F7"/>
    <w:rsid w:val="30EE2159"/>
    <w:rsid w:val="312D1C4B"/>
    <w:rsid w:val="31622A14"/>
    <w:rsid w:val="33D42D7F"/>
    <w:rsid w:val="34F72224"/>
    <w:rsid w:val="353C087E"/>
    <w:rsid w:val="369A3FC3"/>
    <w:rsid w:val="36A85044"/>
    <w:rsid w:val="370445C3"/>
    <w:rsid w:val="377C7BC7"/>
    <w:rsid w:val="3802360F"/>
    <w:rsid w:val="380576BD"/>
    <w:rsid w:val="39506BB7"/>
    <w:rsid w:val="397A7456"/>
    <w:rsid w:val="39CA1B5F"/>
    <w:rsid w:val="3AC7167C"/>
    <w:rsid w:val="3B8508C9"/>
    <w:rsid w:val="3BC4512C"/>
    <w:rsid w:val="3BF80383"/>
    <w:rsid w:val="3C6D19D8"/>
    <w:rsid w:val="3D1F6926"/>
    <w:rsid w:val="3DBF56F9"/>
    <w:rsid w:val="3DC756E3"/>
    <w:rsid w:val="3EA46F75"/>
    <w:rsid w:val="40624343"/>
    <w:rsid w:val="41083B3B"/>
    <w:rsid w:val="42370DD2"/>
    <w:rsid w:val="42682D93"/>
    <w:rsid w:val="435511B8"/>
    <w:rsid w:val="44627E8E"/>
    <w:rsid w:val="447E55D7"/>
    <w:rsid w:val="455B1A09"/>
    <w:rsid w:val="462F3918"/>
    <w:rsid w:val="47505902"/>
    <w:rsid w:val="475122FB"/>
    <w:rsid w:val="47563C6A"/>
    <w:rsid w:val="496220F6"/>
    <w:rsid w:val="4ABB5F7A"/>
    <w:rsid w:val="4ACB36D6"/>
    <w:rsid w:val="4B44613A"/>
    <w:rsid w:val="4BD44D46"/>
    <w:rsid w:val="4BD94B5B"/>
    <w:rsid w:val="4BFC403F"/>
    <w:rsid w:val="4CF124C7"/>
    <w:rsid w:val="4F02757B"/>
    <w:rsid w:val="4F517849"/>
    <w:rsid w:val="4F604B42"/>
    <w:rsid w:val="4FE855CD"/>
    <w:rsid w:val="51B25B58"/>
    <w:rsid w:val="51D500F7"/>
    <w:rsid w:val="52710D50"/>
    <w:rsid w:val="53524000"/>
    <w:rsid w:val="53AB4F54"/>
    <w:rsid w:val="56610DBE"/>
    <w:rsid w:val="57C33398"/>
    <w:rsid w:val="58695A9C"/>
    <w:rsid w:val="589F2C94"/>
    <w:rsid w:val="593A4AEF"/>
    <w:rsid w:val="593C7CCB"/>
    <w:rsid w:val="5ADB57F0"/>
    <w:rsid w:val="5D0402C5"/>
    <w:rsid w:val="5D230C5E"/>
    <w:rsid w:val="5D63484D"/>
    <w:rsid w:val="5D8F2D26"/>
    <w:rsid w:val="5DA54C5F"/>
    <w:rsid w:val="5EB4595C"/>
    <w:rsid w:val="5F4A0060"/>
    <w:rsid w:val="5F8C2D64"/>
    <w:rsid w:val="5FFA47F8"/>
    <w:rsid w:val="60536062"/>
    <w:rsid w:val="60F22DAB"/>
    <w:rsid w:val="613828AF"/>
    <w:rsid w:val="620E04A1"/>
    <w:rsid w:val="626E0507"/>
    <w:rsid w:val="627E46AE"/>
    <w:rsid w:val="642A60EF"/>
    <w:rsid w:val="64A74B89"/>
    <w:rsid w:val="64A85B59"/>
    <w:rsid w:val="65D5300F"/>
    <w:rsid w:val="682D3D59"/>
    <w:rsid w:val="68BE49D6"/>
    <w:rsid w:val="69737B1B"/>
    <w:rsid w:val="6ABA0D30"/>
    <w:rsid w:val="6CA91475"/>
    <w:rsid w:val="6CB155E2"/>
    <w:rsid w:val="6D62749B"/>
    <w:rsid w:val="6E230E93"/>
    <w:rsid w:val="6E26547D"/>
    <w:rsid w:val="6F282B2F"/>
    <w:rsid w:val="6F3B3FB7"/>
    <w:rsid w:val="6FF7503E"/>
    <w:rsid w:val="71122AAB"/>
    <w:rsid w:val="717265F1"/>
    <w:rsid w:val="721F0F6C"/>
    <w:rsid w:val="723A6272"/>
    <w:rsid w:val="72AF2235"/>
    <w:rsid w:val="76EC3379"/>
    <w:rsid w:val="77597CE9"/>
    <w:rsid w:val="77A5509E"/>
    <w:rsid w:val="77C9479C"/>
    <w:rsid w:val="78B557D0"/>
    <w:rsid w:val="78C733B9"/>
    <w:rsid w:val="793122E3"/>
    <w:rsid w:val="79B35AA0"/>
    <w:rsid w:val="79EE7508"/>
    <w:rsid w:val="7A656E7F"/>
    <w:rsid w:val="7AC814FF"/>
    <w:rsid w:val="7BB07259"/>
    <w:rsid w:val="7BD400D7"/>
    <w:rsid w:val="7BFF6EDF"/>
    <w:rsid w:val="7C6C5B5B"/>
    <w:rsid w:val="7DAC3D24"/>
    <w:rsid w:val="7E0C63DA"/>
    <w:rsid w:val="7E3791ED"/>
    <w:rsid w:val="7E91455B"/>
    <w:rsid w:val="7F9517B6"/>
    <w:rsid w:val="7FBB4672"/>
    <w:rsid w:val="BF5F2860"/>
    <w:rsid w:val="FFFF1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numPr>
        <w:ilvl w:val="1"/>
        <w:numId w:val="1"/>
      </w:numPr>
      <w:outlineLvl w:val="1"/>
    </w:pPr>
    <w:rPr>
      <w:sz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6">
    <w:name w:val="Body Text Indent"/>
    <w:basedOn w:val="1"/>
    <w:autoRedefine/>
    <w:qFormat/>
    <w:uiPriority w:val="0"/>
    <w:pPr>
      <w:spacing w:line="360" w:lineRule="auto"/>
      <w:ind w:firstLine="570"/>
    </w:pPr>
    <w:rPr>
      <w:sz w:val="24"/>
    </w:rPr>
  </w:style>
  <w:style w:type="paragraph" w:styleId="7">
    <w:name w:val="index 4"/>
    <w:basedOn w:val="1"/>
    <w:next w:val="1"/>
    <w:autoRedefine/>
    <w:unhideWhenUsed/>
    <w:qFormat/>
    <w:uiPriority w:val="99"/>
    <w:pPr>
      <w:ind w:left="600" w:leftChars="600"/>
    </w:pPr>
    <w:rPr>
      <w:rFonts w:ascii="Verdana" w:hAnsi="Verdana"/>
      <w:szCs w:val="20"/>
    </w:rPr>
  </w:style>
  <w:style w:type="paragraph" w:styleId="8">
    <w:name w:val="Date"/>
    <w:basedOn w:val="1"/>
    <w:next w:val="1"/>
    <w:link w:val="23"/>
    <w:autoRedefine/>
    <w:qFormat/>
    <w:uiPriority w:val="0"/>
    <w:pPr>
      <w:ind w:left="100" w:leftChars="2500"/>
    </w:pPr>
  </w:style>
  <w:style w:type="paragraph" w:styleId="9">
    <w:name w:val="Body Text Indent 2"/>
    <w:basedOn w:val="1"/>
    <w:qFormat/>
    <w:uiPriority w:val="0"/>
    <w:pPr>
      <w:spacing w:after="120" w:line="480" w:lineRule="auto"/>
      <w:ind w:left="420" w:leftChars="200"/>
    </w:pPr>
    <w:rPr>
      <w:kern w:val="0"/>
      <w:sz w:val="20"/>
    </w:rPr>
  </w:style>
  <w:style w:type="paragraph" w:styleId="10">
    <w:name w:val="footer"/>
    <w:basedOn w:val="1"/>
    <w:link w:val="20"/>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paragraph" w:styleId="14">
    <w:name w:val="Body Text First Indent 2"/>
    <w:basedOn w:val="6"/>
    <w:autoRedefine/>
    <w:qFormat/>
    <w:uiPriority w:val="0"/>
    <w:pPr>
      <w:spacing w:after="120" w:line="240" w:lineRule="auto"/>
      <w:ind w:left="420" w:leftChars="200" w:firstLine="420" w:firstLineChars="200"/>
    </w:pPr>
    <w:rPr>
      <w:sz w:val="21"/>
      <w:szCs w:val="20"/>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autoRedefine/>
    <w:qFormat/>
    <w:uiPriority w:val="99"/>
    <w:rPr>
      <w:color w:val="0000FF"/>
      <w:u w:val="single"/>
    </w:rPr>
  </w:style>
  <w:style w:type="paragraph" w:customStyle="1" w:styleId="19">
    <w:name w:val="正文1"/>
    <w:basedOn w:val="1"/>
    <w:next w:val="1"/>
    <w:autoRedefine/>
    <w:qFormat/>
    <w:uiPriority w:val="0"/>
    <w:pPr>
      <w:widowControl/>
      <w:spacing w:beforeLines="50" w:line="360" w:lineRule="auto"/>
      <w:ind w:firstLine="420" w:firstLineChars="175"/>
      <w:jc w:val="center"/>
    </w:pPr>
    <w:rPr>
      <w:iCs/>
      <w:sz w:val="24"/>
      <w:szCs w:val="21"/>
    </w:rPr>
  </w:style>
  <w:style w:type="character" w:customStyle="1" w:styleId="20">
    <w:name w:val="页脚 字符"/>
    <w:link w:val="10"/>
    <w:autoRedefine/>
    <w:qFormat/>
    <w:uiPriority w:val="99"/>
    <w:rPr>
      <w:rFonts w:ascii="Calibri" w:hAnsi="Calibri"/>
      <w:kern w:val="2"/>
      <w:sz w:val="18"/>
      <w:szCs w:val="18"/>
    </w:rPr>
  </w:style>
  <w:style w:type="paragraph" w:customStyle="1" w:styleId="21">
    <w:name w:val="列出段落1"/>
    <w:basedOn w:val="1"/>
    <w:autoRedefine/>
    <w:qFormat/>
    <w:uiPriority w:val="34"/>
    <w:pPr>
      <w:ind w:firstLine="420" w:firstLineChars="200"/>
    </w:pPr>
  </w:style>
  <w:style w:type="paragraph" w:customStyle="1" w:styleId="22">
    <w:name w:val="TOC 标题1"/>
    <w:basedOn w:val="3"/>
    <w:next w:val="1"/>
    <w:autoRedefine/>
    <w:unhideWhenUsed/>
    <w:qFormat/>
    <w:uiPriority w:val="39"/>
    <w:pPr>
      <w:widowControl/>
      <w:spacing w:before="240" w:after="0" w:line="259" w:lineRule="auto"/>
      <w:jc w:val="left"/>
      <w:outlineLvl w:val="9"/>
    </w:pPr>
    <w:rPr>
      <w:rFonts w:ascii="Cambria" w:hAnsi="Cambria"/>
      <w:b w:val="0"/>
      <w:color w:val="366091"/>
      <w:kern w:val="0"/>
      <w:sz w:val="32"/>
      <w:szCs w:val="32"/>
    </w:rPr>
  </w:style>
  <w:style w:type="character" w:customStyle="1" w:styleId="23">
    <w:name w:val="日期 字符"/>
    <w:basedOn w:val="17"/>
    <w:link w:val="8"/>
    <w:autoRedefine/>
    <w:qFormat/>
    <w:uiPriority w:val="0"/>
    <w:rPr>
      <w:rFonts w:ascii="Calibri" w:hAnsi="Calibri"/>
      <w:kern w:val="2"/>
      <w:sz w:val="21"/>
      <w:szCs w:val="24"/>
    </w:rPr>
  </w:style>
  <w:style w:type="paragraph" w:customStyle="1" w:styleId="24">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font01"/>
    <w:basedOn w:val="17"/>
    <w:autoRedefine/>
    <w:qFormat/>
    <w:uiPriority w:val="0"/>
    <w:rPr>
      <w:rFonts w:hint="eastAsia" w:ascii="宋体" w:hAnsi="宋体" w:eastAsia="宋体" w:cs="宋体"/>
      <w:color w:val="000000"/>
      <w:sz w:val="21"/>
      <w:szCs w:val="21"/>
      <w:u w:val="none"/>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styleId="27">
    <w:name w:val="List Paragraph"/>
    <w:basedOn w:val="1"/>
    <w:autoRedefine/>
    <w:qFormat/>
    <w:uiPriority w:val="34"/>
    <w:pPr>
      <w:ind w:firstLine="420" w:firstLineChars="200"/>
    </w:pPr>
  </w:style>
  <w:style w:type="character" w:customStyle="1" w:styleId="28">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29">
    <w:name w:val="列表段落1"/>
    <w:basedOn w:val="1"/>
    <w:autoRedefine/>
    <w:qFormat/>
    <w:uiPriority w:val="99"/>
    <w:pPr>
      <w:spacing w:before="1"/>
      <w:ind w:left="1468" w:firstLine="480"/>
    </w:pPr>
  </w:style>
  <w:style w:type="character" w:customStyle="1" w:styleId="30">
    <w:name w:val="font11"/>
    <w:basedOn w:val="17"/>
    <w:autoRedefine/>
    <w:qFormat/>
    <w:uiPriority w:val="0"/>
    <w:rPr>
      <w:rFonts w:hint="eastAsia" w:ascii="宋体" w:hAnsi="宋体" w:eastAsia="宋体" w:cs="宋体"/>
      <w:color w:val="000000"/>
      <w:sz w:val="21"/>
      <w:szCs w:val="21"/>
      <w:u w:val="none"/>
    </w:rPr>
  </w:style>
  <w:style w:type="character" w:customStyle="1" w:styleId="31">
    <w:name w:val="font21"/>
    <w:basedOn w:val="17"/>
    <w:autoRedefine/>
    <w:qFormat/>
    <w:uiPriority w:val="0"/>
    <w:rPr>
      <w:rFonts w:ascii="Calibri" w:hAnsi="Calibri" w:cs="Calibri"/>
      <w:color w:val="000000"/>
      <w:sz w:val="21"/>
      <w:szCs w:val="21"/>
      <w:u w:val="none"/>
    </w:rPr>
  </w:style>
  <w:style w:type="character" w:customStyle="1" w:styleId="32">
    <w:name w:val="font31"/>
    <w:basedOn w:val="17"/>
    <w:autoRedefine/>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45</Pages>
  <Words>3257</Words>
  <Characters>18566</Characters>
  <Lines>154</Lines>
  <Paragraphs>43</Paragraphs>
  <TotalTime>37</TotalTime>
  <ScaleCrop>false</ScaleCrop>
  <LinksUpToDate>false</LinksUpToDate>
  <CharactersWithSpaces>21780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2024-03-06T00:38:00Z</dcterms:created>
  <dc:creator>Administrator</dc:creator>
  <cp:lastModifiedBy>阿诺多罗</cp:lastModifiedBy>
  <cp:lastPrinted>2024-03-15T06:32:00Z</cp:lastPrinted>
  <dcterms:modified xsi:type="dcterms:W3CDTF">2024-03-29T08:31:40Z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54FA66FA81D04C23929C0B5D89431D6C_13</vt:lpwstr>
  </property>
</Properties>
</file>