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项目名称：南通理工学院</w:t>
      </w:r>
      <w:r>
        <w:rPr>
          <w:rFonts w:hint="eastAsia" w:ascii="宋体" w:hAnsi="宋体" w:cs="宋体"/>
          <w:b/>
          <w:bCs/>
          <w:sz w:val="32"/>
          <w:szCs w:val="32"/>
          <w:lang w:val="en-US" w:eastAsia="zh-CN"/>
        </w:rPr>
        <w:t>智能审计综合案例实训软件采购</w:t>
      </w:r>
      <w:r>
        <w:rPr>
          <w:rFonts w:hint="eastAsia" w:ascii="宋体" w:hAnsi="宋体" w:cs="宋体"/>
          <w:b/>
          <w:bCs/>
          <w:sz w:val="32"/>
          <w:szCs w:val="32"/>
        </w:rPr>
        <w:t>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ZCZB2024008</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商学院智能审计综合案例实训软件采购</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智能审计综合案例实训软件采购</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0"/>
        </w:numPr>
        <w:spacing w:line="360" w:lineRule="exact"/>
        <w:ind w:left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cs="宋体"/>
          <w:sz w:val="24"/>
          <w:szCs w:val="24"/>
          <w:lang w:val="en-US" w:eastAsia="zh-CN"/>
        </w:rPr>
        <w:t>3、</w:t>
      </w:r>
      <w:r>
        <w:rPr>
          <w:rFonts w:hint="eastAsia" w:ascii="宋体" w:hAnsi="宋体" w:eastAsia="宋体" w:cs="宋体"/>
          <w:sz w:val="24"/>
          <w:szCs w:val="24"/>
        </w:rPr>
        <w:t>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海安校区知行楼210。</w:t>
      </w:r>
    </w:p>
    <w:p>
      <w:pPr>
        <w:numPr>
          <w:ilvl w:val="0"/>
          <w:numId w:val="0"/>
        </w:numPr>
        <w:spacing w:line="360" w:lineRule="exact"/>
        <w:ind w:leftChars="200"/>
        <w:rPr>
          <w:rFonts w:hint="eastAsia" w:ascii="宋体" w:hAnsi="宋体" w:eastAsia="宋体" w:cs="宋体"/>
          <w:sz w:val="24"/>
          <w:szCs w:val="24"/>
          <w:lang w:val="en-US"/>
        </w:rPr>
      </w:pPr>
      <w:r>
        <w:rPr>
          <w:rFonts w:hint="eastAsia" w:ascii="宋体" w:hAnsi="宋体" w:cs="宋体"/>
          <w:sz w:val="24"/>
          <w:szCs w:val="24"/>
          <w:lang w:val="en-US" w:eastAsia="zh-CN"/>
        </w:rPr>
        <w:t>4、</w:t>
      </w:r>
      <w:r>
        <w:rPr>
          <w:rFonts w:hint="eastAsia" w:ascii="宋体" w:hAnsi="宋体" w:eastAsia="宋体" w:cs="宋体"/>
          <w:sz w:val="24"/>
          <w:szCs w:val="24"/>
        </w:rPr>
        <w:t>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color w:val="0000FF"/>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color w:val="0000FF"/>
          <w:spacing w:val="3"/>
          <w:sz w:val="24"/>
          <w:szCs w:val="24"/>
          <w:lang w:val="en-US" w:eastAsia="zh-CN"/>
          <w14:textOutline w14:w="4354" w14:cap="flat" w14:cmpd="sng">
            <w14:solidFill>
              <w14:srgbClr w14:val="000000"/>
            </w14:solidFill>
            <w14:prstDash w14:val="solid"/>
            <w14:miter w14:val="0"/>
          </w14:textOutline>
        </w:rPr>
        <w:t>20</w:t>
      </w:r>
      <w:r>
        <w:rPr>
          <w:rFonts w:hint="eastAsia" w:ascii="宋体" w:hAnsi="宋体" w:eastAsia="宋体" w:cs="宋体"/>
          <w:color w:val="0000FF"/>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0000FF"/>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sz w:val="24"/>
          <w:szCs w:val="24"/>
        </w:rPr>
        <w:t>1、中国境内</w:t>
      </w:r>
      <w:r>
        <w:rPr>
          <w:rFonts w:hint="eastAsia" w:ascii="宋体" w:hAnsi="宋体" w:eastAsia="宋体" w:cs="宋体"/>
          <w:color w:val="auto"/>
          <w:sz w:val="24"/>
          <w:szCs w:val="24"/>
        </w:rPr>
        <w:t>合法注册的企业法人；</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3、采购项目的生产厂家或经销商</w:t>
      </w:r>
      <w:r>
        <w:rPr>
          <w:rFonts w:hint="eastAsia" w:ascii="宋体" w:hAnsi="宋体" w:eastAsia="宋体" w:cs="宋体"/>
          <w:color w:val="auto"/>
          <w:sz w:val="24"/>
          <w:szCs w:val="24"/>
          <w:lang w:eastAsia="zh-CN"/>
        </w:rPr>
        <w:t>；</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4、供应商不得存在下列情况之一：</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（1）供应商最近三年内被“信用中国（www.creditchina.gov.cn）</w:t>
      </w:r>
      <w:r>
        <w:rPr>
          <w:rFonts w:hint="eastAsia" w:ascii="宋体" w:hAnsi="宋体" w:cs="宋体"/>
          <w:color w:val="auto"/>
          <w:sz w:val="24"/>
          <w:szCs w:val="24"/>
          <w:lang w:eastAsia="zh-CN"/>
        </w:rPr>
        <w:t>”“</w:t>
      </w:r>
      <w:r>
        <w:rPr>
          <w:rFonts w:hint="eastAsia" w:ascii="宋体" w:hAnsi="宋体" w:eastAsia="宋体" w:cs="宋体"/>
          <w:color w:val="auto"/>
          <w:sz w:val="24"/>
          <w:szCs w:val="24"/>
        </w:rPr>
        <w:t>中国政府采购网（www.ccgp.gov.cn）</w:t>
      </w:r>
      <w:r>
        <w:rPr>
          <w:rFonts w:hint="eastAsia" w:ascii="宋体" w:hAnsi="宋体" w:cs="宋体"/>
          <w:color w:val="auto"/>
          <w:sz w:val="24"/>
          <w:szCs w:val="24"/>
          <w:lang w:eastAsia="zh-CN"/>
        </w:rPr>
        <w:t>”“</w:t>
      </w:r>
      <w:r>
        <w:rPr>
          <w:rFonts w:hint="eastAsia" w:ascii="宋体" w:hAnsi="宋体" w:eastAsia="宋体" w:cs="宋体"/>
          <w:color w:val="auto"/>
          <w:sz w:val="24"/>
          <w:szCs w:val="24"/>
        </w:rPr>
        <w:t>信用江苏（</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"http://credit.jiangsu.gov.cn"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http://credit.jiangsu.gov.cn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（2）法定代表人为同一人的两个及两</w:t>
      </w:r>
      <w:r>
        <w:rPr>
          <w:rFonts w:hint="eastAsia" w:ascii="宋体" w:hAnsi="宋体" w:cs="宋体"/>
          <w:color w:val="auto"/>
          <w:sz w:val="24"/>
          <w:szCs w:val="24"/>
          <w:lang w:val="en-US" w:eastAsia="zh-CN"/>
        </w:rPr>
        <w:t>个</w:t>
      </w:r>
      <w:r>
        <w:rPr>
          <w:rFonts w:hint="eastAsia" w:ascii="宋体" w:hAnsi="宋体" w:eastAsia="宋体" w:cs="宋体"/>
          <w:color w:val="auto"/>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三、投标人资格审查方式：资格后审。</w:t>
      </w:r>
    </w:p>
    <w:p>
      <w:pPr>
        <w:spacing w:before="136" w:line="219" w:lineRule="auto"/>
        <w:ind w:left="484"/>
        <w:rPr>
          <w:rFonts w:ascii="宋体" w:hAnsi="宋体" w:eastAsia="宋体" w:cs="宋体"/>
          <w:color w:val="auto"/>
          <w:sz w:val="24"/>
          <w:szCs w:val="24"/>
        </w:rPr>
      </w:pPr>
      <w:r>
        <w:rPr>
          <w:rFonts w:hint="eastAsia" w:ascii="宋体" w:hAnsi="宋体" w:eastAsia="宋体" w:cs="宋体"/>
          <w:b/>
          <w:bCs/>
          <w:color w:val="auto"/>
          <w:sz w:val="24"/>
          <w:szCs w:val="24"/>
        </w:rPr>
        <w:t>四、招标文件获取：</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color w:val="auto"/>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color w:val="auto"/>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color w:val="auto"/>
          <w:sz w:val="24"/>
          <w:szCs w:val="24"/>
        </w:rPr>
      </w:pP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color w:val="auto"/>
          <w:position w:val="13"/>
          <w:sz w:val="21"/>
          <w:szCs w:val="21"/>
          <w:lang w:val="en-US" w:eastAsia="zh-CN"/>
        </w:rPr>
        <w:t>https://www.ntit.edu.cn/3554/</w:t>
      </w: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color w:val="auto"/>
          <w:spacing w:val="-63"/>
          <w:position w:val="13"/>
          <w:sz w:val="24"/>
          <w:szCs w:val="24"/>
        </w:rPr>
        <w:t xml:space="preserve"> </w:t>
      </w: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五、招标文件售价：</w:t>
      </w:r>
      <w:r>
        <w:rPr>
          <w:rFonts w:hint="eastAsia" w:ascii="黑体" w:hAnsi="黑体" w:eastAsia="黑体" w:cs="黑体"/>
          <w:b/>
          <w:bCs/>
          <w:color w:val="auto"/>
          <w:sz w:val="24"/>
          <w:szCs w:val="24"/>
        </w:rPr>
        <w:t>人民币</w:t>
      </w:r>
      <w:r>
        <w:rPr>
          <w:rFonts w:hint="eastAsia" w:ascii="黑体" w:hAnsi="黑体" w:eastAsia="黑体" w:cs="黑体"/>
          <w:b/>
          <w:bCs/>
          <w:color w:val="auto"/>
          <w:sz w:val="24"/>
          <w:szCs w:val="24"/>
          <w:lang w:val="en-US" w:eastAsia="zh-CN"/>
        </w:rPr>
        <w:t>300</w:t>
      </w:r>
      <w:r>
        <w:rPr>
          <w:rFonts w:hint="eastAsia" w:ascii="黑体" w:hAnsi="黑体" w:eastAsia="黑体" w:cs="黑体"/>
          <w:b/>
          <w:bCs/>
          <w:color w:val="auto"/>
          <w:sz w:val="24"/>
          <w:szCs w:val="24"/>
        </w:rPr>
        <w:t>元</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微信转账</w:t>
      </w:r>
      <w:r>
        <w:rPr>
          <w:rFonts w:hint="eastAsia" w:ascii="宋体" w:hAnsi="宋体" w:eastAsia="宋体" w:cs="宋体"/>
          <w:color w:val="auto"/>
          <w:sz w:val="24"/>
          <w:szCs w:val="24"/>
        </w:rPr>
        <w:t>账号：</w:t>
      </w:r>
      <w:r>
        <w:rPr>
          <w:rFonts w:hint="eastAsia" w:ascii="黑体" w:hAnsi="黑体" w:eastAsia="黑体" w:cs="黑体"/>
          <w:b/>
          <w:bCs/>
          <w:color w:val="auto"/>
          <w:sz w:val="24"/>
          <w:szCs w:val="24"/>
          <w:lang w:val="en-US" w:eastAsia="zh-CN"/>
        </w:rPr>
        <w:t>13485103026【陆*】</w:t>
      </w:r>
      <w:r>
        <w:rPr>
          <w:rFonts w:hint="eastAsia" w:ascii="宋体" w:hAnsi="宋体" w:eastAsia="宋体" w:cs="宋体"/>
          <w:color w:val="auto"/>
          <w:sz w:val="24"/>
          <w:szCs w:val="24"/>
        </w:rPr>
        <w:t>。</w:t>
      </w:r>
      <w:r>
        <w:rPr>
          <w:rFonts w:hint="eastAsia" w:ascii="黑体" w:hAnsi="黑体" w:eastAsia="黑体" w:cs="黑体"/>
          <w:b/>
          <w:bCs/>
          <w:color w:val="auto"/>
          <w:sz w:val="24"/>
          <w:szCs w:val="24"/>
          <w:lang w:val="en-US" w:eastAsia="zh-CN"/>
        </w:rPr>
        <w:t>转账时请注明单位名称及投标项目名称</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eastAsia="宋体" w:cs="宋体"/>
          <w:color w:val="auto"/>
          <w:sz w:val="24"/>
          <w:szCs w:val="24"/>
        </w:rPr>
        <w:t>报名前缴纳，售后不退。</w:t>
      </w:r>
    </w:p>
    <w:p>
      <w:pPr>
        <w:autoSpaceDE w:val="0"/>
        <w:spacing w:line="360" w:lineRule="exact"/>
        <w:ind w:firstLine="482" w:firstLineChars="200"/>
        <w:jc w:val="left"/>
        <w:rPr>
          <w:rFonts w:hint="eastAsia" w:ascii="宋体" w:hAnsi="宋体" w:eastAsia="宋体" w:cs="宋体"/>
          <w:b/>
          <w:bCs/>
          <w:color w:val="auto"/>
          <w:kern w:val="0"/>
          <w:sz w:val="24"/>
          <w:szCs w:val="24"/>
          <w:lang w:bidi="ar"/>
        </w:rPr>
      </w:pPr>
      <w:r>
        <w:rPr>
          <w:rFonts w:hint="eastAsia" w:ascii="宋体" w:hAnsi="宋体" w:cs="宋体"/>
          <w:b/>
          <w:bCs/>
          <w:color w:val="auto"/>
          <w:kern w:val="0"/>
          <w:sz w:val="24"/>
          <w:szCs w:val="24"/>
          <w:lang w:val="en-US" w:eastAsia="zh-CN" w:bidi="ar"/>
        </w:rPr>
        <w:t>六</w:t>
      </w:r>
      <w:r>
        <w:rPr>
          <w:rFonts w:hint="eastAsia" w:ascii="宋体" w:hAnsi="宋体" w:eastAsia="宋体" w:cs="宋体"/>
          <w:b/>
          <w:bCs/>
          <w:color w:val="auto"/>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1、投标报名时间：潜在投标人如确定参加投标，请务必于</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12</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7</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前将“报名投标确认函”（格式见招标文件第五部分</w:t>
      </w:r>
      <w:r>
        <w:rPr>
          <w:rFonts w:hint="eastAsia" w:ascii="宋体" w:hAnsi="宋体" w:cs="宋体"/>
          <w:color w:val="auto"/>
          <w:sz w:val="24"/>
          <w:szCs w:val="24"/>
          <w:highlight w:val="none"/>
          <w:lang w:val="en-US" w:eastAsia="zh-CN"/>
        </w:rPr>
        <w:t>附件11</w:t>
      </w:r>
      <w:r>
        <w:rPr>
          <w:rFonts w:hint="eastAsia" w:ascii="宋体" w:hAnsi="宋体" w:eastAsia="宋体" w:cs="宋体"/>
          <w:color w:val="auto"/>
          <w:sz w:val="24"/>
          <w:szCs w:val="24"/>
          <w:highlight w:val="none"/>
        </w:rPr>
        <w:t>）填写完整后扫描</w:t>
      </w:r>
      <w:r>
        <w:rPr>
          <w:rFonts w:hint="eastAsia" w:ascii="宋体" w:hAnsi="宋体" w:cs="宋体"/>
          <w:color w:val="auto"/>
          <w:sz w:val="24"/>
          <w:szCs w:val="24"/>
          <w:highlight w:val="none"/>
          <w:lang w:val="en-US" w:eastAsia="zh-CN"/>
        </w:rPr>
        <w:t>盖章</w:t>
      </w:r>
      <w:r>
        <w:rPr>
          <w:rFonts w:hint="eastAsia" w:ascii="宋体" w:hAnsi="宋体" w:eastAsia="宋体" w:cs="宋体"/>
          <w:color w:val="auto"/>
          <w:sz w:val="24"/>
          <w:szCs w:val="24"/>
          <w:highlight w:val="none"/>
        </w:rPr>
        <w:t>+标书费汇款记录</w:t>
      </w:r>
      <w:r>
        <w:rPr>
          <w:rFonts w:hint="eastAsia" w:ascii="宋体" w:hAnsi="宋体" w:cs="宋体"/>
          <w:color w:val="auto"/>
          <w:sz w:val="24"/>
          <w:szCs w:val="24"/>
          <w:highlight w:val="none"/>
          <w:lang w:val="en-US" w:eastAsia="zh-CN"/>
        </w:rPr>
        <w:t>截图</w:t>
      </w:r>
      <w:r>
        <w:rPr>
          <w:rFonts w:hint="eastAsia" w:ascii="宋体" w:hAnsi="宋体" w:eastAsia="宋体" w:cs="宋体"/>
          <w:color w:val="auto"/>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2、递交投标文件时间：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18</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1时00分</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将投标文件（要求密封）递交我校资产与基建处</w:t>
      </w:r>
      <w:r>
        <w:rPr>
          <w:rFonts w:hint="eastAsia" w:ascii="宋体" w:hAnsi="宋体" w:eastAsia="宋体" w:cs="宋体"/>
          <w:color w:val="auto"/>
          <w:sz w:val="24"/>
          <w:szCs w:val="24"/>
          <w:highlight w:val="none"/>
          <w:lang w:val="en-US" w:eastAsia="zh-CN"/>
        </w:rPr>
        <w:t>资产</w:t>
      </w:r>
      <w:r>
        <w:rPr>
          <w:rFonts w:hint="eastAsia" w:ascii="宋体" w:hAnsi="宋体" w:eastAsia="宋体" w:cs="宋体"/>
          <w:color w:val="auto"/>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3、响应文件接收截止时间：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18</w:t>
      </w:r>
      <w:r>
        <w:rPr>
          <w:rFonts w:hint="eastAsia" w:ascii="黑体" w:hAnsi="黑体" w:eastAsia="黑体" w:cs="黑体"/>
          <w:b/>
          <w:bCs/>
          <w:color w:val="auto"/>
          <w:sz w:val="24"/>
          <w:szCs w:val="24"/>
          <w:highlight w:val="none"/>
        </w:rPr>
        <w:t>日</w:t>
      </w:r>
      <w:r>
        <w:rPr>
          <w:rFonts w:hint="eastAsia" w:ascii="黑体" w:hAnsi="黑体" w:eastAsia="黑体" w:cs="黑体"/>
          <w:b/>
          <w:bCs/>
          <w:color w:val="auto"/>
          <w:sz w:val="24"/>
          <w:szCs w:val="24"/>
          <w:highlight w:val="none"/>
          <w:lang w:val="en-US" w:eastAsia="zh-CN"/>
        </w:rPr>
        <w:t>11</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1"/>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1"/>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color w:val="auto"/>
          <w:kern w:val="2"/>
          <w:sz w:val="24"/>
          <w:szCs w:val="24"/>
          <w:lang w:val="en-US" w:eastAsia="zh-CN"/>
        </w:rPr>
      </w:pPr>
      <w:r>
        <w:rPr>
          <w:rFonts w:hint="eastAsia" w:ascii="黑体" w:hAnsi="黑体" w:eastAsia="黑体" w:cs="黑体"/>
          <w:b/>
          <w:bCs/>
          <w:color w:val="auto"/>
          <w:kern w:val="2"/>
          <w:sz w:val="24"/>
          <w:szCs w:val="24"/>
          <w:lang w:val="en-US" w:eastAsia="zh-CN"/>
        </w:rPr>
        <w:t>技术咨询：吕老师13912041001</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宋体" w:hAnsi="宋体" w:eastAsia="宋体" w:cs="宋体"/>
          <w:kern w:val="2"/>
          <w:sz w:val="24"/>
          <w:szCs w:val="24"/>
        </w:rPr>
      </w:pPr>
      <w:r>
        <w:rPr>
          <w:rFonts w:hint="eastAsia" w:ascii="黑体" w:hAnsi="黑体" w:eastAsia="黑体" w:cs="黑体"/>
          <w:b/>
          <w:bCs/>
          <w:color w:val="auto"/>
          <w:kern w:val="2"/>
          <w:sz w:val="24"/>
          <w:szCs w:val="24"/>
          <w:lang w:val="en-US" w:eastAsia="zh-CN"/>
        </w:rPr>
        <w:t>监督电话：蔡老师0513-85301108 18068181066</w:t>
      </w:r>
      <w:r>
        <w:rPr>
          <w:rFonts w:hint="eastAsia" w:ascii="宋体" w:hAnsi="宋体" w:eastAsia="宋体" w:cs="宋体"/>
          <w:kern w:val="2"/>
          <w:sz w:val="24"/>
          <w:szCs w:val="24"/>
        </w:rPr>
        <w:t xml:space="preserve"> </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w:t>
      </w:r>
      <w:r>
        <w:rPr>
          <w:rFonts w:hint="eastAsia" w:cs="Times New Roman"/>
          <w:sz w:val="24"/>
          <w:lang w:eastAsia="zh-CN"/>
        </w:rPr>
        <w:t>、</w:t>
      </w:r>
      <w:r>
        <w:rPr>
          <w:rFonts w:hint="eastAsia" w:ascii="黑体" w:hAnsi="黑体" w:eastAsia="黑体" w:cs="黑体"/>
          <w:b/>
          <w:bCs/>
          <w:color w:val="0000FF"/>
          <w:sz w:val="24"/>
          <w:szCs w:val="24"/>
          <w:highlight w:val="none"/>
          <w:lang w:val="en-US" w:eastAsia="zh-CN"/>
        </w:rPr>
        <w:t>软件著作权资质证明</w:t>
      </w:r>
      <w:r>
        <w:rPr>
          <w:rFonts w:hint="eastAsia" w:ascii="Times New Roman" w:hAnsi="Times New Roman" w:cs="Times New Roman"/>
          <w:sz w:val="24"/>
        </w:rPr>
        <w:t>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color w:val="auto"/>
                <w:szCs w:val="21"/>
              </w:rPr>
            </w:pPr>
            <w:r>
              <w:rPr>
                <w:rFonts w:hint="eastAsia"/>
                <w:color w:val="auto"/>
                <w:szCs w:val="21"/>
              </w:rPr>
              <w:t>根据供应商的技术指标对招标文件的偏离度进行打分，具体由评委根据供应商的投标文件中《技术规格响应/偏离表》及相关证明资料评审。符合招标文件基本要求的得基准分</w:t>
            </w:r>
            <w:r>
              <w:rPr>
                <w:rFonts w:hint="eastAsia"/>
                <w:color w:val="auto"/>
                <w:szCs w:val="21"/>
                <w:lang w:val="en-US" w:eastAsia="zh-CN"/>
              </w:rPr>
              <w:t>32</w:t>
            </w:r>
            <w:r>
              <w:rPr>
                <w:rFonts w:hint="eastAsia"/>
                <w:color w:val="auto"/>
                <w:szCs w:val="21"/>
              </w:rPr>
              <w:t>分。▲为实质性要求，有一项负偏离扣2分，扣完为止。</w:t>
            </w:r>
            <w:r>
              <w:rPr>
                <w:rFonts w:hint="default"/>
                <w:color w:val="auto"/>
                <w:szCs w:val="21"/>
                <w:lang w:val="en-US" w:eastAsia="zh-CN"/>
              </w:rPr>
              <w:t>所投产品不满足招标文件技术条款要求的（</w:t>
            </w:r>
            <w:r>
              <w:rPr>
                <w:rFonts w:hint="eastAsia"/>
                <w:color w:val="auto"/>
                <w:szCs w:val="21"/>
                <w:lang w:val="en-US" w:eastAsia="zh-CN"/>
              </w:rPr>
              <w:t>负</w:t>
            </w:r>
            <w:r>
              <w:rPr>
                <w:rFonts w:hint="default"/>
                <w:color w:val="auto"/>
                <w:szCs w:val="21"/>
                <w:lang w:val="en-US" w:eastAsia="zh-CN"/>
              </w:rPr>
              <w:t>偏离）、配置不详、技术参数不清或缺漏项的，每处扣</w:t>
            </w:r>
            <w:r>
              <w:rPr>
                <w:rFonts w:hint="eastAsia"/>
                <w:color w:val="auto"/>
                <w:szCs w:val="21"/>
                <w:lang w:val="en-US" w:eastAsia="zh-CN"/>
              </w:rPr>
              <w:t>1</w:t>
            </w:r>
            <w:r>
              <w:rPr>
                <w:rFonts w:hint="default"/>
                <w:color w:val="auto"/>
                <w:szCs w:val="21"/>
                <w:lang w:val="en-US" w:eastAsia="zh-CN"/>
              </w:rPr>
              <w:t>分</w:t>
            </w:r>
          </w:p>
          <w:p>
            <w:pPr>
              <w:pStyle w:val="12"/>
              <w:spacing w:after="0" w:line="240" w:lineRule="auto"/>
              <w:ind w:firstLine="211"/>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2"/>
              <w:spacing w:after="0" w:line="360" w:lineRule="auto"/>
              <w:ind w:firstLine="211"/>
              <w:rPr>
                <w:rFonts w:hint="eastAsia" w:ascii="Times New Roman" w:hAnsi="Times New Roman" w:eastAsia="宋体" w:cs="Times New Roman"/>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color w:val="auto"/>
                <w:szCs w:val="21"/>
                <w:lang w:val="en-US" w:eastAsia="zh-CN"/>
              </w:rPr>
            </w:pPr>
            <w:r>
              <w:rPr>
                <w:rFonts w:hint="eastAsia"/>
                <w:color w:val="auto"/>
                <w:szCs w:val="21"/>
              </w:rPr>
              <w:t>投标人应具有</w:t>
            </w:r>
            <w:r>
              <w:rPr>
                <w:rFonts w:hint="eastAsia"/>
                <w:color w:val="auto"/>
                <w:szCs w:val="21"/>
                <w:lang w:val="en-US" w:eastAsia="zh-CN"/>
              </w:rPr>
              <w:t>相应资质</w:t>
            </w:r>
            <w:r>
              <w:rPr>
                <w:rFonts w:hint="eastAsia"/>
                <w:color w:val="auto"/>
                <w:szCs w:val="21"/>
              </w:rPr>
              <w:t>。提供</w:t>
            </w:r>
            <w:r>
              <w:rPr>
                <w:rFonts w:hint="eastAsia"/>
                <w:color w:val="auto"/>
                <w:szCs w:val="21"/>
                <w:lang w:val="en-US" w:eastAsia="zh-CN"/>
              </w:rPr>
              <w:t>一项</w:t>
            </w:r>
            <w:r>
              <w:rPr>
                <w:rFonts w:hint="eastAsia"/>
                <w:color w:val="auto"/>
                <w:szCs w:val="21"/>
              </w:rPr>
              <w:t>得1分，未提供不得分。 需提供有关证书复印件并加盖公章。</w:t>
            </w:r>
            <w:r>
              <w:rPr>
                <w:rFonts w:hint="eastAsia"/>
                <w:color w:val="auto"/>
                <w:szCs w:val="21"/>
                <w:lang w:val="en-US" w:eastAsia="zh-CN"/>
              </w:rPr>
              <w:t>最多得5分。</w:t>
            </w:r>
          </w:p>
          <w:p>
            <w:pPr>
              <w:spacing w:line="360" w:lineRule="auto"/>
              <w:rPr>
                <w:rFonts w:hint="eastAsia" w:ascii="宋体" w:hAnsi="宋体" w:eastAsia="宋体" w:cs="宋体"/>
                <w:color w:val="auto"/>
                <w:sz w:val="21"/>
                <w:szCs w:val="21"/>
              </w:rPr>
            </w:pPr>
            <w:r>
              <w:rPr>
                <w:rFonts w:hint="eastAsia" w:ascii="宋体" w:hAnsi="宋体" w:eastAsia="宋体" w:cs="宋体"/>
                <w:b/>
                <w:color w:val="auto"/>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zh-TW" w:eastAsia="zh-TW"/>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color w:val="auto"/>
                <w:sz w:val="21"/>
                <w:szCs w:val="21"/>
                <w:lang w:val="en-US" w:eastAsia="zh-CN"/>
              </w:rPr>
            </w:pPr>
            <w:r>
              <w:rPr>
                <w:rFonts w:hint="eastAsia"/>
                <w:color w:val="auto"/>
                <w:szCs w:val="21"/>
                <w:lang w:val="zh-TW" w:eastAsia="zh-TW"/>
              </w:rPr>
              <w:t>满足招标文件要求得</w:t>
            </w:r>
            <w:r>
              <w:rPr>
                <w:rFonts w:hint="eastAsia"/>
                <w:color w:val="auto"/>
                <w:szCs w:val="21"/>
                <w:lang w:val="zh-CN"/>
              </w:rPr>
              <w:t>3</w:t>
            </w:r>
            <w:r>
              <w:rPr>
                <w:rFonts w:hint="eastAsia"/>
                <w:color w:val="auto"/>
                <w:szCs w:val="21"/>
                <w:lang w:val="zh-TW" w:eastAsia="zh-TW"/>
              </w:rPr>
              <w:t>分；每延长一年加</w:t>
            </w:r>
            <w:r>
              <w:rPr>
                <w:rFonts w:hint="eastAsia"/>
                <w:color w:val="auto"/>
                <w:szCs w:val="21"/>
                <w:lang w:val="zh-CN"/>
              </w:rPr>
              <w:t>1</w:t>
            </w:r>
            <w:r>
              <w:rPr>
                <w:rFonts w:hint="eastAsia"/>
                <w:color w:val="auto"/>
                <w:szCs w:val="21"/>
                <w:lang w:val="zh-TW" w:eastAsia="zh-TW"/>
              </w:rPr>
              <w:t>分，最多加</w:t>
            </w:r>
            <w:r>
              <w:rPr>
                <w:rFonts w:hint="eastAsia"/>
                <w:color w:val="auto"/>
                <w:szCs w:val="21"/>
                <w:lang w:val="zh-CN"/>
              </w:rPr>
              <w:t>2</w:t>
            </w:r>
            <w:r>
              <w:rPr>
                <w:rFonts w:hint="eastAsia"/>
                <w:color w:val="auto"/>
                <w:szCs w:val="21"/>
                <w:lang w:val="zh-TW" w:eastAsia="zh-TW"/>
              </w:rPr>
              <w:t>分。</w:t>
            </w:r>
            <w:r>
              <w:rPr>
                <w:rFonts w:hint="eastAsia" w:ascii="黑体" w:hAnsi="黑体" w:eastAsia="黑体" w:cs="黑体"/>
                <w:b/>
                <w:bCs/>
                <w:color w:val="auto"/>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zh-TW" w:eastAsia="zh-TW"/>
              </w:rPr>
            </w:pPr>
            <w:r>
              <w:rPr>
                <w:rFonts w:hint="eastAsia" w:ascii="宋体" w:hAnsi="宋体" w:eastAsia="宋体" w:cs="宋体"/>
                <w:color w:val="auto"/>
                <w:sz w:val="21"/>
                <w:szCs w:val="21"/>
                <w:lang w:val="zh-TW" w:eastAsia="zh-TW"/>
              </w:rPr>
              <w:t>培训方案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0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zh-TW" w:eastAsia="zh-TW"/>
              </w:rPr>
            </w:pPr>
            <w:r>
              <w:rPr>
                <w:rFonts w:hint="eastAsia" w:ascii="Times New Roman" w:hAnsi="Times New Roman" w:eastAsia="宋体" w:cs="Times New Roman"/>
                <w:color w:val="auto"/>
                <w:szCs w:val="21"/>
                <w:lang w:val="zh-TW" w:eastAsia="zh-TW"/>
              </w:rPr>
              <w:t>有针对性的培训方案，培训方案应包括培训的时间、地点、 目标、方式、内容、对象和措施。对方案的科学性可行性进行综合评比。得 1-2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p>
        </w:tc>
        <w:tc>
          <w:tcPr>
            <w:tcW w:w="404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w:t>
            </w:r>
            <w:r>
              <w:rPr>
                <w:rFonts w:hint="eastAsia"/>
                <w:szCs w:val="21"/>
                <w:lang w:val="zh-TW" w:eastAsia="zh-CN"/>
              </w:rPr>
              <w:t>、</w:t>
            </w:r>
            <w:r>
              <w:rPr>
                <w:rFonts w:hint="eastAsia"/>
                <w:szCs w:val="21"/>
                <w:lang w:val="en-US" w:eastAsia="zh-CN"/>
              </w:rPr>
              <w:t>工期</w:t>
            </w:r>
            <w:r>
              <w:rPr>
                <w:rFonts w:hint="eastAsia"/>
                <w:szCs w:val="21"/>
                <w:lang w:val="zh-TW" w:eastAsia="zh-TW"/>
              </w:rPr>
              <w:t>等服务承诺进行评分，优得</w:t>
            </w:r>
            <w:r>
              <w:rPr>
                <w:rFonts w:hint="eastAsia"/>
                <w:szCs w:val="21"/>
                <w:lang w:val="en-US" w:eastAsia="zh-CN"/>
              </w:rPr>
              <w:t>4</w:t>
            </w:r>
            <w:r>
              <w:rPr>
                <w:rFonts w:hint="eastAsia"/>
                <w:szCs w:val="21"/>
                <w:lang w:val="zh-TW" w:eastAsia="zh-TW"/>
              </w:rPr>
              <w:t>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color w:val="00B0F0"/>
                <w:szCs w:val="21"/>
              </w:rPr>
              <w:t>202</w:t>
            </w:r>
            <w:r>
              <w:rPr>
                <w:rFonts w:hint="eastAsia"/>
                <w:color w:val="00B0F0"/>
                <w:szCs w:val="21"/>
                <w:lang w:val="en-US" w:eastAsia="zh-CN"/>
              </w:rPr>
              <w:t>1</w:t>
            </w:r>
            <w:r>
              <w:rPr>
                <w:rFonts w:hint="eastAsia"/>
                <w:color w:val="00B0F0"/>
                <w:szCs w:val="21"/>
                <w:lang w:val="zh-TW" w:eastAsia="zh-TW"/>
              </w:rPr>
              <w:t>年</w:t>
            </w:r>
            <w:r>
              <w:rPr>
                <w:rFonts w:hint="eastAsia"/>
                <w:color w:val="00B0F0"/>
                <w:szCs w:val="21"/>
              </w:rPr>
              <w:t>1</w:t>
            </w:r>
            <w:r>
              <w:rPr>
                <w:rFonts w:hint="eastAsia"/>
                <w:color w:val="00B0F0"/>
                <w:szCs w:val="21"/>
                <w:lang w:val="zh-TW" w:eastAsia="zh-TW"/>
              </w:rPr>
              <w:t>月</w:t>
            </w:r>
            <w:r>
              <w:rPr>
                <w:rFonts w:hint="eastAsia"/>
                <w:color w:val="00B0F0"/>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rPr>
              <w:t>1</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p>
      <w:pPr>
        <w:spacing w:line="353" w:lineRule="auto"/>
        <w:ind w:firstLine="482" w:firstLineChars="200"/>
        <w:rPr>
          <w:rFonts w:hint="default"/>
          <w:b/>
          <w:sz w:val="24"/>
          <w:lang w:val="en-US" w:eastAsia="zh-CN"/>
        </w:rPr>
      </w:pPr>
      <w:r>
        <w:rPr>
          <w:rFonts w:hint="eastAsia"/>
          <w:b/>
          <w:sz w:val="24"/>
          <w:lang w:val="en-US" w:eastAsia="zh-CN"/>
        </w:rPr>
        <w:t>详见附件</w:t>
      </w: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合同生效后20天内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12022"/>
      <w:bookmarkStart w:id="5" w:name="_Toc34991461"/>
      <w:bookmarkStart w:id="6" w:name="_Toc231280344"/>
      <w:bookmarkStart w:id="7" w:name="_Toc231279737"/>
      <w:bookmarkStart w:id="8" w:name="_Toc231282228"/>
      <w:bookmarkStart w:id="9" w:name="_Toc231279666"/>
      <w:bookmarkStart w:id="10" w:name="_Toc231279586"/>
      <w:bookmarkStart w:id="11" w:name="_Toc231289771"/>
      <w:bookmarkStart w:id="12" w:name="_Toc231276966"/>
      <w:bookmarkStart w:id="13" w:name="_Toc231284489"/>
      <w:bookmarkStart w:id="14" w:name="_Toc231281339"/>
      <w:bookmarkStart w:id="15" w:name="_Toc231286901"/>
      <w:bookmarkStart w:id="16" w:name="_Toc231279156"/>
      <w:bookmarkStart w:id="17" w:name="_Toc231279247"/>
      <w:bookmarkStart w:id="18" w:name="_Toc231289932"/>
      <w:bookmarkStart w:id="19" w:name="_Toc231305090"/>
      <w:bookmarkStart w:id="20" w:name="_Toc231280938"/>
      <w:bookmarkStart w:id="21" w:name="_Toc231281705"/>
      <w:bookmarkStart w:id="22" w:name="_Toc231304988"/>
      <w:bookmarkStart w:id="23" w:name="_Toc231289905"/>
      <w:bookmarkStart w:id="24" w:name="_Toc231280804"/>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3"/>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3"/>
        <w:rPr>
          <w:rFonts w:ascii="宋体" w:hAnsi="宋体"/>
          <w:b/>
          <w:bCs w:val="0"/>
          <w:color w:val="000000"/>
          <w:sz w:val="21"/>
          <w:szCs w:val="21"/>
        </w:rPr>
      </w:pPr>
      <w:bookmarkStart w:id="25" w:name="_Toc30593"/>
      <w:bookmarkStart w:id="26" w:name="_Toc34991462"/>
      <w:bookmarkStart w:id="27" w:name="_Toc231305093"/>
      <w:bookmarkStart w:id="28" w:name="_Toc231289908"/>
      <w:bookmarkStart w:id="29" w:name="_Toc231281342"/>
      <w:bookmarkStart w:id="30" w:name="_Toc231279669"/>
      <w:bookmarkStart w:id="31" w:name="_Toc231304991"/>
      <w:bookmarkStart w:id="32" w:name="_Toc231286904"/>
      <w:bookmarkStart w:id="33" w:name="_Toc231289935"/>
      <w:bookmarkStart w:id="34" w:name="_Toc231289774"/>
      <w:bookmarkStart w:id="35" w:name="_Toc231279740"/>
      <w:bookmarkStart w:id="36" w:name="_Toc407266082"/>
      <w:bookmarkStart w:id="37" w:name="_Toc231280347"/>
      <w:bookmarkStart w:id="38" w:name="_Toc231281708"/>
      <w:bookmarkStart w:id="39" w:name="_Toc231280941"/>
      <w:bookmarkStart w:id="40" w:name="_Toc231279589"/>
      <w:bookmarkStart w:id="41" w:name="_Toc231280807"/>
      <w:bookmarkStart w:id="42" w:name="_Toc231282231"/>
      <w:bookmarkStart w:id="43" w:name="_Toc231284492"/>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44" w:name="_Toc7052"/>
      <w:bookmarkStart w:id="45" w:name="_Toc34991463"/>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3"/>
        <w:rPr>
          <w:rFonts w:ascii="宋体" w:hAnsi="宋体"/>
          <w:color w:val="000000"/>
          <w:spacing w:val="4"/>
          <w:sz w:val="24"/>
        </w:rPr>
      </w:pPr>
    </w:p>
    <w:p>
      <w:pPr>
        <w:pStyle w:val="3"/>
        <w:rPr>
          <w:rFonts w:ascii="宋体" w:hAnsi="宋体"/>
          <w:color w:val="000000"/>
          <w:spacing w:val="4"/>
          <w:sz w:val="24"/>
        </w:rPr>
      </w:pPr>
      <w:r>
        <w:rPr>
          <w:rFonts w:ascii="宋体" w:hAnsi="宋体"/>
          <w:color w:val="000000"/>
          <w:spacing w:val="4"/>
          <w:sz w:val="24"/>
        </w:rPr>
        <w:br w:type="page"/>
      </w:r>
      <w:bookmarkStart w:id="46" w:name="_Toc34991464"/>
      <w:bookmarkStart w:id="47" w:name="_Toc8152"/>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7"/>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3"/>
        <w:rPr>
          <w:rFonts w:ascii="宋体"/>
          <w:b w:val="0"/>
          <w:color w:val="000000"/>
          <w:sz w:val="36"/>
          <w:szCs w:val="36"/>
        </w:rPr>
      </w:pPr>
      <w:r>
        <w:rPr>
          <w:rFonts w:ascii="宋体"/>
          <w:color w:val="000000"/>
          <w:sz w:val="24"/>
        </w:rPr>
        <w:br w:type="page"/>
      </w:r>
      <w:bookmarkStart w:id="48" w:name="_Toc17756"/>
      <w:bookmarkStart w:id="49" w:name="_Toc34991465"/>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3"/>
        <w:rPr>
          <w:rFonts w:ascii="宋体" w:hAnsi="宋体"/>
          <w:b w:val="0"/>
          <w:color w:val="000000"/>
          <w:sz w:val="21"/>
          <w:szCs w:val="21"/>
        </w:rPr>
      </w:pPr>
      <w:bookmarkStart w:id="50" w:name="_Toc29319"/>
      <w:bookmarkStart w:id="51" w:name="_Toc34991466"/>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3"/>
        <w:rPr>
          <w:color w:val="000000"/>
        </w:rPr>
      </w:pPr>
      <w:bookmarkStart w:id="52" w:name="_Toc13075"/>
      <w:bookmarkStart w:id="53" w:name="_Toc34991467"/>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7"/>
        <w:spacing w:line="290" w:lineRule="auto"/>
      </w:pPr>
    </w:p>
    <w:p>
      <w:pPr>
        <w:pStyle w:val="7"/>
        <w:spacing w:line="290" w:lineRule="auto"/>
      </w:pPr>
    </w:p>
    <w:p>
      <w:pPr>
        <w:pStyle w:val="7"/>
        <w:spacing w:line="291" w:lineRule="auto"/>
      </w:pPr>
    </w:p>
    <w:p>
      <w:pPr>
        <w:pStyle w:val="7"/>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7"/>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3"/>
        <w:rPr>
          <w:color w:val="000000"/>
        </w:rPr>
      </w:pPr>
    </w:p>
    <w:p>
      <w:pPr>
        <w:pStyle w:val="3"/>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7"/>
        <w:spacing w:line="317" w:lineRule="auto"/>
      </w:pPr>
    </w:p>
    <w:p>
      <w:pPr>
        <w:pStyle w:val="7"/>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bookmarkStart w:id="58" w:name="_GoBack"/>
      <w:bookmarkEnd w:id="58"/>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7"/>
        <w:spacing w:line="244" w:lineRule="auto"/>
      </w:pPr>
    </w:p>
    <w:p>
      <w:pPr>
        <w:pStyle w:val="7"/>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2"/>
        <w:rPr>
          <w:rFonts w:ascii="宋体" w:hAnsi="宋体" w:eastAsia="宋体" w:cs="宋体"/>
          <w:spacing w:val="-10"/>
          <w:sz w:val="28"/>
          <w:szCs w:val="28"/>
        </w:rPr>
      </w:pPr>
    </w:p>
    <w:p>
      <w:pPr>
        <w:pStyle w:val="3"/>
        <w:rPr>
          <w:b w:val="0"/>
          <w:color w:val="000000"/>
          <w:sz w:val="44"/>
          <w:szCs w:val="44"/>
        </w:rPr>
      </w:pPr>
      <w:bookmarkStart w:id="56" w:name="_Toc30136"/>
      <w:bookmarkStart w:id="57" w:name="_Toc34991468"/>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2"/>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13564D"/>
    <w:rsid w:val="1C364BBA"/>
    <w:rsid w:val="1C5A0D28"/>
    <w:rsid w:val="1CA476F7"/>
    <w:rsid w:val="1CDE25D6"/>
    <w:rsid w:val="1CFC4FCF"/>
    <w:rsid w:val="1D7D3B03"/>
    <w:rsid w:val="1E6D7CAF"/>
    <w:rsid w:val="1F3D6311"/>
    <w:rsid w:val="1F516BBD"/>
    <w:rsid w:val="1FEE0EDB"/>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95791B"/>
    <w:rsid w:val="6FDD7144"/>
    <w:rsid w:val="70281CF1"/>
    <w:rsid w:val="70B34FC2"/>
    <w:rsid w:val="71294FA1"/>
    <w:rsid w:val="71885DD2"/>
    <w:rsid w:val="71D72C0E"/>
    <w:rsid w:val="71E219F3"/>
    <w:rsid w:val="72224E32"/>
    <w:rsid w:val="72370CB6"/>
    <w:rsid w:val="72963BA6"/>
    <w:rsid w:val="729907F9"/>
    <w:rsid w:val="72C47013"/>
    <w:rsid w:val="732B25B2"/>
    <w:rsid w:val="73557ED4"/>
    <w:rsid w:val="73CC7AC9"/>
    <w:rsid w:val="747554DC"/>
    <w:rsid w:val="74E90FB2"/>
    <w:rsid w:val="7548217D"/>
    <w:rsid w:val="75812F99"/>
    <w:rsid w:val="759728B6"/>
    <w:rsid w:val="75B94E29"/>
    <w:rsid w:val="763A7532"/>
    <w:rsid w:val="7662297F"/>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link w:val="28"/>
    <w:autoRedefine/>
    <w:unhideWhenUsed/>
    <w:qFormat/>
    <w:uiPriority w:val="99"/>
    <w:pPr>
      <w:jc w:val="left"/>
    </w:pPr>
    <w:rPr>
      <w:szCs w:val="21"/>
    </w:rPr>
  </w:style>
  <w:style w:type="paragraph" w:styleId="7">
    <w:name w:val="Body Text"/>
    <w:basedOn w:val="1"/>
    <w:link w:val="24"/>
    <w:autoRedefine/>
    <w:qFormat/>
    <w:uiPriority w:val="0"/>
    <w:pPr>
      <w:snapToGrid w:val="0"/>
      <w:spacing w:before="120" w:after="120" w:line="360" w:lineRule="auto"/>
    </w:pPr>
    <w:rPr>
      <w:rFonts w:ascii="宋体" w:hAnsi="宋体"/>
      <w:sz w:val="24"/>
      <w:szCs w:val="20"/>
    </w:rPr>
  </w:style>
  <w:style w:type="paragraph" w:styleId="8">
    <w:name w:val="Plain Text"/>
    <w:basedOn w:val="1"/>
    <w:link w:val="25"/>
    <w:autoRedefine/>
    <w:qFormat/>
    <w:uiPriority w:val="0"/>
    <w:rPr>
      <w:rFonts w:ascii="宋体" w:hAnsi="Courier New"/>
      <w:szCs w:val="20"/>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rFonts w:ascii="Calibri" w:hAnsi="Calibri"/>
      <w:kern w:val="0"/>
      <w:sz w:val="24"/>
    </w:rPr>
  </w:style>
  <w:style w:type="paragraph" w:styleId="12">
    <w:name w:val="Body Text First Indent"/>
    <w:basedOn w:val="7"/>
    <w:autoRedefine/>
    <w:qFormat/>
    <w:uiPriority w:val="99"/>
    <w:pPr>
      <w:ind w:firstLine="420" w:firstLineChars="100"/>
    </w:p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rPr>
      <w:rFonts w:ascii="Times New Roman" w:hAnsi="Times New Roman" w:eastAsia="宋体" w:cs="Times New Roman"/>
    </w:rPr>
  </w:style>
  <w:style w:type="character" w:styleId="17">
    <w:name w:val="Hyperlink"/>
    <w:basedOn w:val="15"/>
    <w:autoRedefine/>
    <w:unhideWhenUsed/>
    <w:qFormat/>
    <w:uiPriority w:val="99"/>
    <w:rPr>
      <w:color w:val="0000FF"/>
      <w:u w:val="single"/>
    </w:rPr>
  </w:style>
  <w:style w:type="paragraph" w:customStyle="1" w:styleId="18">
    <w:name w:val="Default"/>
    <w:next w:val="1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4"/>
    <w:autoRedefine/>
    <w:semiHidden/>
    <w:qFormat/>
    <w:uiPriority w:val="0"/>
    <w:rPr>
      <w:b/>
      <w:bCs/>
      <w:kern w:val="2"/>
      <w:sz w:val="32"/>
      <w:szCs w:val="32"/>
    </w:rPr>
  </w:style>
  <w:style w:type="character" w:customStyle="1" w:styleId="24">
    <w:name w:val="正文文本 字符"/>
    <w:link w:val="7"/>
    <w:autoRedefine/>
    <w:qFormat/>
    <w:uiPriority w:val="0"/>
    <w:rPr>
      <w:rFonts w:ascii="宋体" w:hAnsi="宋体"/>
      <w:kern w:val="2"/>
      <w:sz w:val="24"/>
    </w:rPr>
  </w:style>
  <w:style w:type="character" w:customStyle="1" w:styleId="25">
    <w:name w:val="纯文本 字符"/>
    <w:link w:val="8"/>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5"/>
    <w:link w:val="6"/>
    <w:autoRedefine/>
    <w:qFormat/>
    <w:uiPriority w:val="99"/>
    <w:rPr>
      <w:kern w:val="2"/>
      <w:sz w:val="21"/>
      <w:szCs w:val="21"/>
    </w:rPr>
  </w:style>
  <w:style w:type="character" w:customStyle="1" w:styleId="29">
    <w:name w:val="15"/>
    <w:basedOn w:val="15"/>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43</TotalTime>
  <ScaleCrop>false</ScaleCrop>
  <LinksUpToDate>false</LinksUpToDate>
  <CharactersWithSpaces>11267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2024-04-07T01:34:40Z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8A70C8F2B8504748A12F2AC361E225A9_13</vt:lpwstr>
  </property>
</Properties>
</file>